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09" w:type="dxa"/>
        <w:tblLook w:val="04A0" w:firstRow="1" w:lastRow="0" w:firstColumn="1" w:lastColumn="0" w:noHBand="0" w:noVBand="1"/>
      </w:tblPr>
      <w:tblGrid>
        <w:gridCol w:w="2350"/>
        <w:gridCol w:w="40"/>
        <w:gridCol w:w="6819"/>
      </w:tblGrid>
      <w:tr w:rsidR="005F746C" w:rsidRPr="00F51DA0" w:rsidTr="005F746C">
        <w:tc>
          <w:tcPr>
            <w:tcW w:w="2390" w:type="dxa"/>
            <w:gridSpan w:val="2"/>
          </w:tcPr>
          <w:p w:rsidR="005F746C" w:rsidRPr="00070FAC" w:rsidRDefault="005F746C" w:rsidP="00D25119">
            <w:pPr>
              <w:jc w:val="both"/>
              <w:rPr>
                <w:rFonts w:cs="Times New Roman"/>
              </w:rPr>
            </w:pPr>
            <w:bookmarkStart w:id="0" w:name="_Hlk505155200"/>
            <w:r w:rsidRPr="00070FAC">
              <w:rPr>
                <w:rFonts w:cs="Times New Roman"/>
              </w:rPr>
              <w:t>AREA</w:t>
            </w:r>
          </w:p>
        </w:tc>
        <w:tc>
          <w:tcPr>
            <w:tcW w:w="6819" w:type="dxa"/>
          </w:tcPr>
          <w:p w:rsidR="005F746C" w:rsidRPr="00070FAC" w:rsidRDefault="005F746C" w:rsidP="00D25119">
            <w:pPr>
              <w:jc w:val="both"/>
              <w:rPr>
                <w:rFonts w:cs="Times New Roman"/>
              </w:rPr>
            </w:pPr>
            <w:proofErr w:type="gramStart"/>
            <w:r w:rsidRPr="00070FAC">
              <w:rPr>
                <w:rFonts w:cs="Times New Roman"/>
              </w:rPr>
              <w:t xml:space="preserve">RIESGO </w:t>
            </w:r>
            <w:r>
              <w:rPr>
                <w:rFonts w:cs="Times New Roman"/>
              </w:rPr>
              <w:t xml:space="preserve"> Y</w:t>
            </w:r>
            <w:proofErr w:type="gramEnd"/>
            <w:r>
              <w:rPr>
                <w:rFonts w:cs="Times New Roman"/>
              </w:rPr>
              <w:t xml:space="preserve"> DESCRIPCIÓN</w:t>
            </w:r>
          </w:p>
        </w:tc>
      </w:tr>
      <w:tr w:rsidR="005F746C" w:rsidRPr="00F51DA0" w:rsidTr="005F746C">
        <w:tc>
          <w:tcPr>
            <w:tcW w:w="2390" w:type="dxa"/>
            <w:gridSpan w:val="2"/>
          </w:tcPr>
          <w:p w:rsidR="005F746C" w:rsidRPr="00797642" w:rsidRDefault="005F746C" w:rsidP="00D25119">
            <w:pPr>
              <w:jc w:val="both"/>
              <w:rPr>
                <w:rFonts w:cs="Times New Roman"/>
              </w:rPr>
            </w:pPr>
            <w:r w:rsidRPr="00797642">
              <w:rPr>
                <w:rFonts w:cs="Times New Roman"/>
              </w:rPr>
              <w:t>EXISTENCIAS</w:t>
            </w:r>
          </w:p>
          <w:p w:rsidR="005F746C" w:rsidRPr="00797642" w:rsidRDefault="005F746C" w:rsidP="00D25119">
            <w:pPr>
              <w:jc w:val="both"/>
              <w:rPr>
                <w:rFonts w:cs="Times New Roman"/>
              </w:rPr>
            </w:pPr>
          </w:p>
        </w:tc>
        <w:tc>
          <w:tcPr>
            <w:tcW w:w="6819" w:type="dxa"/>
          </w:tcPr>
          <w:p w:rsidR="005F746C" w:rsidRDefault="005F746C" w:rsidP="00D25119">
            <w:pPr>
              <w:jc w:val="both"/>
              <w:rPr>
                <w:rFonts w:cs="Times New Roman"/>
              </w:rPr>
            </w:pPr>
            <w:r>
              <w:rPr>
                <w:rFonts w:cs="Times New Roman"/>
              </w:rPr>
              <w:t xml:space="preserve">En las actividades de fabricación por encargo del cliente y, en concreto, en la actividad de fabricación de estos productos, existe una dificultad importante, en la estimación del coste de producción , ya que éste está compuesto, además de por el precio de adquisición de las materias primas y otras materias consumibles y por los costes directamente imputables al producto, por la parte que razonablemente corresponda de los costes indirectamente imputables a los productos de que se trate, en la medida en que tales costes correspondan al periodo de fabricación y se basen en el nivel de utilización de la capacidad normal de trabajo de los medios de producción. </w:t>
            </w:r>
          </w:p>
          <w:p w:rsidR="005F746C" w:rsidRDefault="005F746C" w:rsidP="00D25119">
            <w:pPr>
              <w:jc w:val="both"/>
              <w:rPr>
                <w:rFonts w:cs="Times New Roman"/>
              </w:rPr>
            </w:pPr>
          </w:p>
          <w:p w:rsidR="005F746C" w:rsidRDefault="005F746C" w:rsidP="00D25119">
            <w:pPr>
              <w:jc w:val="both"/>
              <w:rPr>
                <w:rFonts w:cs="Times New Roman"/>
              </w:rPr>
            </w:pPr>
            <w:r>
              <w:rPr>
                <w:rFonts w:cs="Times New Roman"/>
              </w:rPr>
              <w:t xml:space="preserve">La dificultad en la valoración de las existencias de productos terminados, común a todas las empresas del sector de estos productos, es el riesgo existente en la inclusión de costes de subactividad en la valoración de las mismas, que pudieran incluso a determinar un coste de producción superior al precio de venta de las mismas y además que el coste “estimado” de unos productos sea diferente al de otros, no por los costes directos que se imputen que son prácticamente los mismos sino por la imputación de los costes indirectos. </w:t>
            </w:r>
          </w:p>
          <w:p w:rsidR="005F746C" w:rsidRDefault="005F746C" w:rsidP="00D25119">
            <w:pPr>
              <w:jc w:val="both"/>
              <w:rPr>
                <w:rFonts w:cs="Times New Roman"/>
              </w:rPr>
            </w:pPr>
          </w:p>
          <w:p w:rsidR="005F746C" w:rsidRDefault="005F746C" w:rsidP="00D25119">
            <w:pPr>
              <w:jc w:val="both"/>
              <w:rPr>
                <w:rFonts w:cs="Times New Roman"/>
              </w:rPr>
            </w:pPr>
            <w:r>
              <w:rPr>
                <w:rFonts w:cs="Times New Roman"/>
              </w:rPr>
              <w:t xml:space="preserve">Este es por tanto a nuestro juicio un aspecto relevante de la auditoria y por consiguiente debe ser objeto de un mayor análisis por su parte y por la nuestra.  </w:t>
            </w:r>
          </w:p>
          <w:p w:rsidR="005F746C" w:rsidRPr="009D1752" w:rsidRDefault="005F746C" w:rsidP="00D25119">
            <w:pPr>
              <w:jc w:val="both"/>
              <w:rPr>
                <w:rFonts w:cs="Times New Roman"/>
              </w:rPr>
            </w:pPr>
          </w:p>
        </w:tc>
      </w:tr>
      <w:tr w:rsidR="005F746C" w:rsidTr="005F746C">
        <w:tc>
          <w:tcPr>
            <w:tcW w:w="2390" w:type="dxa"/>
            <w:gridSpan w:val="2"/>
          </w:tcPr>
          <w:p w:rsidR="005F746C" w:rsidRPr="00797642" w:rsidRDefault="005F746C" w:rsidP="00D25119">
            <w:pPr>
              <w:jc w:val="both"/>
              <w:rPr>
                <w:rFonts w:cs="Times New Roman"/>
              </w:rPr>
            </w:pPr>
            <w:r w:rsidRPr="00797642">
              <w:rPr>
                <w:rFonts w:cs="Times New Roman"/>
              </w:rPr>
              <w:t>INMOVILIZADO MATERIAL</w:t>
            </w:r>
          </w:p>
        </w:tc>
        <w:tc>
          <w:tcPr>
            <w:tcW w:w="6819" w:type="dxa"/>
          </w:tcPr>
          <w:p w:rsidR="005F746C" w:rsidRDefault="005F746C" w:rsidP="00D25119">
            <w:pPr>
              <w:jc w:val="both"/>
              <w:rPr>
                <w:rFonts w:cs="Times New Roman"/>
              </w:rPr>
            </w:pPr>
            <w:r>
              <w:rPr>
                <w:rFonts w:cs="Times New Roman"/>
              </w:rPr>
              <w:t xml:space="preserve">En empresas de fabricación, en donde la producción de la fábrica depende en gran medida de la existencia de varios turnos de trabajo, produce que la vida útil de los activos afectos a dicha producción se vea alterada en función de la utilización de </w:t>
            </w:r>
            <w:proofErr w:type="gramStart"/>
            <w:r>
              <w:rPr>
                <w:rFonts w:cs="Times New Roman"/>
              </w:rPr>
              <w:t>los mismos</w:t>
            </w:r>
            <w:proofErr w:type="gramEnd"/>
            <w:r>
              <w:rPr>
                <w:rFonts w:cs="Times New Roman"/>
              </w:rPr>
              <w:t xml:space="preserve">, que viene a su vez determinada por los turnos de trabajo. Esta situación, común a empresas productoras, hace que la estimación de la amortización de los inmovilizados no pueda realizarse de una manera lineal, sino que la misma variará en función de los turnos de trabajo que desde la dirección se consideren necesarios para acometer las necesidades de producción exigidas por las necesidades del mercado siendo un aspecto relevante de la auditoria y por consiguiente debe ser objeto de un mayor análisis por su parte y por la nuestra.  </w:t>
            </w:r>
          </w:p>
        </w:tc>
      </w:tr>
      <w:tr w:rsidR="005F746C" w:rsidTr="005F746C">
        <w:tc>
          <w:tcPr>
            <w:tcW w:w="2390" w:type="dxa"/>
            <w:gridSpan w:val="2"/>
          </w:tcPr>
          <w:p w:rsidR="005F746C" w:rsidRDefault="005F746C" w:rsidP="00D25119">
            <w:pPr>
              <w:jc w:val="both"/>
              <w:rPr>
                <w:rFonts w:cs="Times New Roman"/>
              </w:rPr>
            </w:pPr>
            <w:r>
              <w:rPr>
                <w:rFonts w:cs="Times New Roman"/>
              </w:rPr>
              <w:t>CONTINGENCIAS</w:t>
            </w:r>
          </w:p>
        </w:tc>
        <w:tc>
          <w:tcPr>
            <w:tcW w:w="6819" w:type="dxa"/>
          </w:tcPr>
          <w:p w:rsidR="005F746C" w:rsidRDefault="005F746C" w:rsidP="00D25119">
            <w:pPr>
              <w:jc w:val="both"/>
              <w:rPr>
                <w:rFonts w:cs="Times New Roman"/>
              </w:rPr>
            </w:pPr>
            <w:r>
              <w:rPr>
                <w:rFonts w:cs="Times New Roman"/>
              </w:rPr>
              <w:t xml:space="preserve">En Diciembre de 2017 se ha admitido a trámite una demanda interpuesta por la sociedad a XXX, motivada por el rechazo de ésta de una serie de piezas fabricadas y servidas por la sociedad en ejercicios anteriores, y que según nos manifiestan desde la sociedad, fueron fabricadas y aceptadas siguiendo las directrices de XXX, no siendo imputables a la sociedad, los defectos que han aparecido en las mismas como consecuencia del almacenamiento inadecuado por parte de XXXX, siendo un aspecto relevante de la auditoria y por consiguiente debe ser objeto de un mayor análisis por su parte y por la nuestra.  </w:t>
            </w:r>
          </w:p>
        </w:tc>
      </w:tr>
      <w:tr w:rsidR="005F746C" w:rsidTr="005F746C">
        <w:tc>
          <w:tcPr>
            <w:tcW w:w="2390" w:type="dxa"/>
            <w:gridSpan w:val="2"/>
          </w:tcPr>
          <w:p w:rsidR="005F746C" w:rsidRDefault="005F746C" w:rsidP="00D25119">
            <w:pPr>
              <w:jc w:val="both"/>
              <w:rPr>
                <w:rFonts w:cs="Times New Roman"/>
              </w:rPr>
            </w:pPr>
            <w:r>
              <w:rPr>
                <w:rFonts w:cs="Times New Roman"/>
              </w:rPr>
              <w:t>EMPRESA EN FUNCIONAMIENTO</w:t>
            </w:r>
          </w:p>
        </w:tc>
        <w:tc>
          <w:tcPr>
            <w:tcW w:w="6819" w:type="dxa"/>
          </w:tcPr>
          <w:p w:rsidR="005F746C" w:rsidRDefault="005F746C" w:rsidP="00D25119">
            <w:pPr>
              <w:jc w:val="both"/>
              <w:rPr>
                <w:rFonts w:cs="Times New Roman"/>
              </w:rPr>
            </w:pPr>
            <w:r>
              <w:rPr>
                <w:rFonts w:cs="Times New Roman"/>
              </w:rPr>
              <w:t xml:space="preserve">El sector en el que opera la sociedad es un sector con un único cliente, ya que la posibilidad de diversificación comercial fuera de </w:t>
            </w:r>
            <w:proofErr w:type="gramStart"/>
            <w:r>
              <w:rPr>
                <w:rFonts w:cs="Times New Roman"/>
              </w:rPr>
              <w:t>España,</w:t>
            </w:r>
            <w:proofErr w:type="gramEnd"/>
            <w:r>
              <w:rPr>
                <w:rFonts w:cs="Times New Roman"/>
              </w:rPr>
              <w:t xml:space="preserve"> es muy complicada por el elevado coste de transporte de l</w:t>
            </w:r>
            <w:r w:rsidR="000A1BA8">
              <w:rPr>
                <w:rFonts w:cs="Times New Roman"/>
              </w:rPr>
              <w:t>os productos</w:t>
            </w:r>
            <w:r>
              <w:rPr>
                <w:rFonts w:cs="Times New Roman"/>
              </w:rPr>
              <w:t xml:space="preserve">. </w:t>
            </w:r>
            <w:r>
              <w:rPr>
                <w:rFonts w:cs="Times New Roman"/>
              </w:rPr>
              <w:lastRenderedPageBreak/>
              <w:t xml:space="preserve">La actividad de la sociedad está condicionada a la adjudicación de contratos de fabricación de </w:t>
            </w:r>
            <w:r w:rsidR="000A1BA8">
              <w:rPr>
                <w:rFonts w:cs="Times New Roman"/>
              </w:rPr>
              <w:t>productos</w:t>
            </w:r>
            <w:r>
              <w:rPr>
                <w:rFonts w:cs="Times New Roman"/>
              </w:rPr>
              <w:t xml:space="preserve">, siendo un aspecto relevante de la auditoria y por consiguiente debe ser objeto de un mayor análisis por su parte y por la nuestra parte.  </w:t>
            </w:r>
          </w:p>
        </w:tc>
      </w:tr>
      <w:tr w:rsidR="000A1BA8" w:rsidRPr="00C939DE" w:rsidTr="000A1BA8">
        <w:tc>
          <w:tcPr>
            <w:tcW w:w="2350" w:type="dxa"/>
            <w:shd w:val="clear" w:color="auto" w:fill="FF0000"/>
          </w:tcPr>
          <w:p w:rsidR="000A1BA8" w:rsidRPr="00C939DE" w:rsidRDefault="000A1BA8" w:rsidP="00D25119">
            <w:pPr>
              <w:jc w:val="both"/>
              <w:rPr>
                <w:rFonts w:cs="Times New Roman"/>
                <w:b/>
                <w:color w:val="FFFFFF" w:themeColor="background1"/>
              </w:rPr>
            </w:pPr>
            <w:r w:rsidRPr="00C939DE">
              <w:rPr>
                <w:rFonts w:cs="Times New Roman"/>
                <w:b/>
                <w:color w:val="FFFFFF" w:themeColor="background1"/>
              </w:rPr>
              <w:lastRenderedPageBreak/>
              <w:t>AREA</w:t>
            </w:r>
          </w:p>
        </w:tc>
        <w:tc>
          <w:tcPr>
            <w:tcW w:w="6859" w:type="dxa"/>
            <w:gridSpan w:val="2"/>
            <w:shd w:val="clear" w:color="auto" w:fill="FF0000"/>
          </w:tcPr>
          <w:p w:rsidR="000A1BA8" w:rsidRPr="00C939DE" w:rsidRDefault="000A1BA8" w:rsidP="00D25119">
            <w:pPr>
              <w:jc w:val="both"/>
              <w:rPr>
                <w:rFonts w:cs="Times New Roman"/>
                <w:b/>
                <w:color w:val="FFFFFF" w:themeColor="background1"/>
              </w:rPr>
            </w:pPr>
            <w:proofErr w:type="gramStart"/>
            <w:r w:rsidRPr="00C939DE">
              <w:rPr>
                <w:rFonts w:cs="Times New Roman"/>
                <w:b/>
                <w:color w:val="FFFFFF" w:themeColor="background1"/>
              </w:rPr>
              <w:t>RIESGO  Y</w:t>
            </w:r>
            <w:proofErr w:type="gramEnd"/>
            <w:r w:rsidRPr="00C939DE">
              <w:rPr>
                <w:rFonts w:cs="Times New Roman"/>
                <w:b/>
                <w:color w:val="FFFFFF" w:themeColor="background1"/>
              </w:rPr>
              <w:t xml:space="preserve"> DESCRIPCIÓN</w:t>
            </w:r>
          </w:p>
        </w:tc>
      </w:tr>
      <w:tr w:rsidR="000A1BA8" w:rsidRPr="00F51DA0" w:rsidTr="000A1BA8">
        <w:tc>
          <w:tcPr>
            <w:tcW w:w="2350" w:type="dxa"/>
          </w:tcPr>
          <w:p w:rsidR="000A1BA8" w:rsidRPr="00797642" w:rsidRDefault="000A1BA8" w:rsidP="00D25119">
            <w:pPr>
              <w:jc w:val="both"/>
              <w:rPr>
                <w:rFonts w:cs="Times New Roman"/>
              </w:rPr>
            </w:pPr>
            <w:r>
              <w:rPr>
                <w:rFonts w:cs="Times New Roman"/>
              </w:rPr>
              <w:t>SUBVENCIONES MUNICIPALES PARA LA GESTIÓN DE PROYECTOS-PROGRAMA</w:t>
            </w:r>
          </w:p>
          <w:p w:rsidR="000A1BA8" w:rsidRPr="00797642" w:rsidRDefault="000A1BA8" w:rsidP="00D25119">
            <w:pPr>
              <w:jc w:val="both"/>
              <w:rPr>
                <w:rFonts w:cs="Times New Roman"/>
              </w:rPr>
            </w:pPr>
          </w:p>
        </w:tc>
        <w:tc>
          <w:tcPr>
            <w:tcW w:w="6859" w:type="dxa"/>
            <w:gridSpan w:val="2"/>
          </w:tcPr>
          <w:p w:rsidR="000A1BA8" w:rsidRDefault="000A1BA8" w:rsidP="00D25119">
            <w:pPr>
              <w:jc w:val="both"/>
              <w:rPr>
                <w:rFonts w:cs="Times New Roman"/>
              </w:rPr>
            </w:pPr>
            <w:r>
              <w:rPr>
                <w:rFonts w:cs="Times New Roman"/>
              </w:rPr>
              <w:t xml:space="preserve">En el sector de empresas municipales, donde una parte considerable de sus ingresos dependen de la subvención comprometida por el ente local, suele suceder que bien a lo largo del ejercicio o en el ejercicio siguiente con la liquidación del presupuesto municipal no se incorpore al año siguiente el compromiso de financiación con la sociedad municipal inicial y presupuestariamente previsto o bien que se cambie la finalidad de la subvención comprometida a otra distinta de la prevista. </w:t>
            </w:r>
          </w:p>
          <w:p w:rsidR="000A1BA8" w:rsidRDefault="000A1BA8" w:rsidP="00D25119">
            <w:pPr>
              <w:jc w:val="both"/>
              <w:rPr>
                <w:rFonts w:cs="Times New Roman"/>
              </w:rPr>
            </w:pPr>
          </w:p>
          <w:p w:rsidR="000A1BA8" w:rsidRDefault="000A1BA8" w:rsidP="00D25119">
            <w:pPr>
              <w:jc w:val="both"/>
              <w:rPr>
                <w:rFonts w:cs="Times New Roman"/>
              </w:rPr>
            </w:pPr>
            <w:r>
              <w:rPr>
                <w:rFonts w:cs="Times New Roman"/>
              </w:rPr>
              <w:t xml:space="preserve">La dificultad en estos casos se produce, al ser hechos y/o cambios en la financiación cuya decisión es tomada por la entidad local con posterioridad al cierre de ejercicio y no siempre son oportunamente comunicados a la sociedad. Un cambio o pérdida de la subvención de un proyecto, supone caso de no ser registrado por la sociedad, errores en el activo corriente del balance por el saldo a cobrar de la entidad local, errores en el pasivo corriente del balance por las periodificaciones a corto plazo que se corresponden con los ingresos de los proyectos pendientes de ejecutar al cierre del ejercicio y, en ocasiones, una alteración en el resultado del ejercicio, en el caso en el que la sociedad haya ejecutado parte o la totalidad del gasto del programa para los que contaba con una subvención, que finalmente ha sido cancelada. </w:t>
            </w:r>
          </w:p>
          <w:p w:rsidR="000A1BA8" w:rsidRDefault="000A1BA8" w:rsidP="00D25119">
            <w:pPr>
              <w:jc w:val="both"/>
              <w:rPr>
                <w:rFonts w:cs="Times New Roman"/>
              </w:rPr>
            </w:pPr>
            <w:r>
              <w:rPr>
                <w:rFonts w:cs="Times New Roman"/>
              </w:rPr>
              <w:t xml:space="preserve">Por tanto, este es a nuestro juicio un aspecto relevante de la auditoria y por consiguiente debe ser objeto de un mayor análisis por su parte y por la nuestra.  </w:t>
            </w:r>
          </w:p>
          <w:p w:rsidR="000A1BA8" w:rsidRPr="009D1752" w:rsidRDefault="000A1BA8" w:rsidP="00D25119">
            <w:pPr>
              <w:jc w:val="both"/>
              <w:rPr>
                <w:rFonts w:cs="Times New Roman"/>
              </w:rPr>
            </w:pPr>
          </w:p>
        </w:tc>
      </w:tr>
      <w:tr w:rsidR="000A1BA8" w:rsidTr="000A1BA8">
        <w:tc>
          <w:tcPr>
            <w:tcW w:w="2350" w:type="dxa"/>
          </w:tcPr>
          <w:p w:rsidR="000A1BA8" w:rsidRPr="00797642" w:rsidRDefault="000A1BA8" w:rsidP="00D25119">
            <w:pPr>
              <w:jc w:val="both"/>
              <w:rPr>
                <w:rFonts w:cs="Times New Roman"/>
              </w:rPr>
            </w:pPr>
            <w:r w:rsidRPr="00797642">
              <w:rPr>
                <w:rFonts w:cs="Times New Roman"/>
              </w:rPr>
              <w:t xml:space="preserve">INMOVILIZADO </w:t>
            </w:r>
            <w:r>
              <w:rPr>
                <w:rFonts w:cs="Times New Roman"/>
              </w:rPr>
              <w:t>INTANGIBLE, INMOVILIZADO MATERIAL Y AMORTIZACIONES</w:t>
            </w:r>
          </w:p>
        </w:tc>
        <w:tc>
          <w:tcPr>
            <w:tcW w:w="6859" w:type="dxa"/>
            <w:gridSpan w:val="2"/>
          </w:tcPr>
          <w:p w:rsidR="000A1BA8" w:rsidRDefault="000A1BA8" w:rsidP="00D25119">
            <w:pPr>
              <w:jc w:val="both"/>
              <w:rPr>
                <w:rFonts w:cs="Times New Roman"/>
              </w:rPr>
            </w:pPr>
            <w:r>
              <w:rPr>
                <w:rFonts w:cs="Times New Roman"/>
              </w:rPr>
              <w:t xml:space="preserve">En empresas de propiedad municipal una gran parte de sus actividades son realizadas en Inmuebles de propiedad municipal cedidos en régimen de concesión administrativa. Esta circunstancia en términos contables plantea varias dificultades tanto en la valoración de dicho derecho, plazo de concesión y amortización a </w:t>
            </w:r>
            <w:proofErr w:type="gramStart"/>
            <w:r>
              <w:rPr>
                <w:rFonts w:cs="Times New Roman"/>
              </w:rPr>
              <w:t>realizar</w:t>
            </w:r>
            <w:proofErr w:type="gramEnd"/>
            <w:r>
              <w:rPr>
                <w:rFonts w:cs="Times New Roman"/>
              </w:rPr>
              <w:t xml:space="preserve"> así como de la información a revelar en la memoria de las cuentas anuales. En el caso de XXX el Activo no corriente del balance representaba más de un </w:t>
            </w:r>
            <w:r w:rsidR="004903E8">
              <w:rPr>
                <w:rFonts w:cs="Times New Roman"/>
              </w:rPr>
              <w:t>X</w:t>
            </w:r>
            <w:r>
              <w:rPr>
                <w:rFonts w:cs="Times New Roman"/>
              </w:rPr>
              <w:t xml:space="preserve">% del Activo Total de la sociedad al 31 de </w:t>
            </w:r>
            <w:proofErr w:type="gramStart"/>
            <w:r>
              <w:rPr>
                <w:rFonts w:cs="Times New Roman"/>
              </w:rPr>
              <w:t>Diciembre</w:t>
            </w:r>
            <w:proofErr w:type="gramEnd"/>
            <w:r>
              <w:rPr>
                <w:rFonts w:cs="Times New Roman"/>
              </w:rPr>
              <w:t xml:space="preserve"> de 2016 y la amortización de dichos elementos un </w:t>
            </w:r>
            <w:r w:rsidR="004903E8">
              <w:rPr>
                <w:rFonts w:cs="Times New Roman"/>
              </w:rPr>
              <w:t>X</w:t>
            </w:r>
            <w:r>
              <w:rPr>
                <w:rFonts w:cs="Times New Roman"/>
              </w:rPr>
              <w:t xml:space="preserve">% de los ingresos totales de la sociedad en dicho ejercicio, siendo por consiguiente un área de especial interés para su análisis por su parte y por la nuestra. </w:t>
            </w:r>
          </w:p>
          <w:p w:rsidR="000A1BA8" w:rsidRDefault="000A1BA8" w:rsidP="00D25119">
            <w:pPr>
              <w:jc w:val="both"/>
              <w:rPr>
                <w:rFonts w:cs="Times New Roman"/>
              </w:rPr>
            </w:pPr>
            <w:r>
              <w:rPr>
                <w:rFonts w:cs="Times New Roman"/>
              </w:rPr>
              <w:t xml:space="preserve"> </w:t>
            </w:r>
          </w:p>
        </w:tc>
      </w:tr>
      <w:tr w:rsidR="000A1BA8" w:rsidTr="000A1BA8">
        <w:tc>
          <w:tcPr>
            <w:tcW w:w="2350" w:type="dxa"/>
          </w:tcPr>
          <w:p w:rsidR="000A1BA8" w:rsidRDefault="000A1BA8" w:rsidP="00D25119">
            <w:pPr>
              <w:jc w:val="both"/>
              <w:rPr>
                <w:rFonts w:cs="Times New Roman"/>
              </w:rPr>
            </w:pPr>
            <w:r>
              <w:rPr>
                <w:rFonts w:cs="Times New Roman"/>
              </w:rPr>
              <w:t>CREDITOS POR OPERACIONES COMERCIALES</w:t>
            </w:r>
          </w:p>
        </w:tc>
        <w:tc>
          <w:tcPr>
            <w:tcW w:w="6859" w:type="dxa"/>
            <w:gridSpan w:val="2"/>
          </w:tcPr>
          <w:p w:rsidR="000A1BA8" w:rsidRDefault="000A1BA8" w:rsidP="00D25119">
            <w:pPr>
              <w:jc w:val="both"/>
              <w:rPr>
                <w:rFonts w:cs="Times New Roman"/>
              </w:rPr>
            </w:pPr>
            <w:r>
              <w:rPr>
                <w:rFonts w:cs="Times New Roman"/>
              </w:rPr>
              <w:t xml:space="preserve">XXX realiza actividades bien diferenciadas: </w:t>
            </w:r>
          </w:p>
          <w:p w:rsidR="000A1BA8" w:rsidRDefault="000A1BA8" w:rsidP="000A1BA8">
            <w:pPr>
              <w:pStyle w:val="Prrafodelista"/>
              <w:numPr>
                <w:ilvl w:val="0"/>
                <w:numId w:val="1"/>
              </w:numPr>
              <w:jc w:val="both"/>
              <w:rPr>
                <w:rFonts w:cs="Times New Roman"/>
              </w:rPr>
            </w:pPr>
            <w:r>
              <w:rPr>
                <w:rFonts w:cs="Times New Roman"/>
              </w:rPr>
              <w:t xml:space="preserve">Ingresos procedentes </w:t>
            </w:r>
            <w:proofErr w:type="gramStart"/>
            <w:r>
              <w:rPr>
                <w:rFonts w:cs="Times New Roman"/>
              </w:rPr>
              <w:t>del arrendamientos</w:t>
            </w:r>
            <w:proofErr w:type="gramEnd"/>
            <w:r>
              <w:rPr>
                <w:rFonts w:cs="Times New Roman"/>
              </w:rPr>
              <w:t xml:space="preserve"> de despachos y oficinas a otras empresas. </w:t>
            </w:r>
          </w:p>
          <w:p w:rsidR="000A1BA8" w:rsidRDefault="000A1BA8" w:rsidP="000A1BA8">
            <w:pPr>
              <w:pStyle w:val="Prrafodelista"/>
              <w:numPr>
                <w:ilvl w:val="0"/>
                <w:numId w:val="1"/>
              </w:numPr>
              <w:jc w:val="both"/>
              <w:rPr>
                <w:rFonts w:cs="Times New Roman"/>
              </w:rPr>
            </w:pPr>
            <w:r>
              <w:rPr>
                <w:rFonts w:cs="Times New Roman"/>
              </w:rPr>
              <w:t>Ingresos procedentes del Ayuntamiento para la financiación de los proyectos-programas.</w:t>
            </w:r>
          </w:p>
          <w:p w:rsidR="000A1BA8" w:rsidRDefault="000A1BA8" w:rsidP="00D25119">
            <w:pPr>
              <w:jc w:val="both"/>
              <w:rPr>
                <w:rFonts w:cs="Times New Roman"/>
              </w:rPr>
            </w:pPr>
            <w:r>
              <w:rPr>
                <w:rFonts w:cs="Times New Roman"/>
              </w:rPr>
              <w:t xml:space="preserve">En lo que respecta a la primera actividad hay un riesgo inherente a toda transacción comercial y que se corresponde con la posible </w:t>
            </w:r>
            <w:r>
              <w:rPr>
                <w:rFonts w:cs="Times New Roman"/>
              </w:rPr>
              <w:lastRenderedPageBreak/>
              <w:t xml:space="preserve">reducción o retraso en los flujos de efectivo estimados futuros, que pueden venir motivados por la insolvencia del deudor. </w:t>
            </w:r>
          </w:p>
          <w:p w:rsidR="000A1BA8" w:rsidRDefault="000A1BA8" w:rsidP="00D25119">
            <w:pPr>
              <w:jc w:val="both"/>
              <w:rPr>
                <w:rFonts w:cs="Times New Roman"/>
              </w:rPr>
            </w:pPr>
          </w:p>
          <w:p w:rsidR="000A1BA8" w:rsidRDefault="000A1BA8" w:rsidP="00D25119">
            <w:pPr>
              <w:jc w:val="both"/>
              <w:rPr>
                <w:rFonts w:cs="Times New Roman"/>
              </w:rPr>
            </w:pPr>
            <w:r>
              <w:rPr>
                <w:rFonts w:cs="Times New Roman"/>
              </w:rPr>
              <w:t>Dado que estas dos actividades representan un parte considerable de los ingresos, y que en ambas actividades existe un riesgo inherente de insolvencia, consideramos un área que debe ser de especial análisis por su parte y por la nuestra.</w:t>
            </w:r>
          </w:p>
          <w:p w:rsidR="000A1BA8" w:rsidRPr="008801F1" w:rsidRDefault="000A1BA8" w:rsidP="00D25119">
            <w:pPr>
              <w:jc w:val="both"/>
              <w:rPr>
                <w:rFonts w:cs="Times New Roman"/>
              </w:rPr>
            </w:pPr>
            <w:r>
              <w:rPr>
                <w:rFonts w:cs="Times New Roman"/>
              </w:rPr>
              <w:t xml:space="preserve"> </w:t>
            </w:r>
          </w:p>
        </w:tc>
      </w:tr>
      <w:tr w:rsidR="000A1BA8" w:rsidTr="000A1BA8">
        <w:tc>
          <w:tcPr>
            <w:tcW w:w="2350" w:type="dxa"/>
          </w:tcPr>
          <w:p w:rsidR="000A1BA8" w:rsidRDefault="000A1BA8" w:rsidP="00D25119">
            <w:pPr>
              <w:jc w:val="both"/>
              <w:rPr>
                <w:rFonts w:cs="Times New Roman"/>
              </w:rPr>
            </w:pPr>
            <w:r>
              <w:rPr>
                <w:rFonts w:cs="Times New Roman"/>
              </w:rPr>
              <w:lastRenderedPageBreak/>
              <w:t>IBI</w:t>
            </w:r>
          </w:p>
        </w:tc>
        <w:tc>
          <w:tcPr>
            <w:tcW w:w="6859" w:type="dxa"/>
            <w:gridSpan w:val="2"/>
          </w:tcPr>
          <w:p w:rsidR="000A1BA8" w:rsidRDefault="000A1BA8" w:rsidP="00D25119">
            <w:pPr>
              <w:jc w:val="both"/>
              <w:rPr>
                <w:rFonts w:cs="Times New Roman"/>
              </w:rPr>
            </w:pPr>
            <w:r>
              <w:rPr>
                <w:rFonts w:cs="Times New Roman"/>
              </w:rPr>
              <w:t xml:space="preserve">Durante el 2017 y en relación con algunos derechos de superficie, El Patronato de Recaudación Provincial ha solicitado el pago del IBI a </w:t>
            </w:r>
            <w:r w:rsidR="005E4FEF">
              <w:rPr>
                <w:rFonts w:cs="Times New Roman"/>
              </w:rPr>
              <w:t>la sociedad de algunos inmuebles cedidos por el Ayto</w:t>
            </w:r>
            <w:r>
              <w:rPr>
                <w:rFonts w:cs="Times New Roman"/>
              </w:rPr>
              <w:t xml:space="preserve">. Las cuantías exigidas y la posibilidad de que dicha exigencia se extendiera a más derechos de superficie cedidos por el Ayuntamiento, </w:t>
            </w:r>
            <w:proofErr w:type="gramStart"/>
            <w:r>
              <w:rPr>
                <w:rFonts w:cs="Times New Roman"/>
              </w:rPr>
              <w:t>hace</w:t>
            </w:r>
            <w:proofErr w:type="gramEnd"/>
            <w:r>
              <w:rPr>
                <w:rFonts w:cs="Times New Roman"/>
              </w:rPr>
              <w:t xml:space="preserve"> que esta sea un área relevante de la auditoría y que debe ser objeto de un estudio detallado por la sociedad y sus servicios jurídicos y, por consiguiente es un área que plantea dificultades en términos contables en su registro, valoración y revelación por el Consejo de Administración en la Memoria</w:t>
            </w:r>
            <w:r w:rsidR="005E4FEF">
              <w:rPr>
                <w:rFonts w:cs="Times New Roman"/>
              </w:rPr>
              <w:t>. C</w:t>
            </w:r>
            <w:r>
              <w:rPr>
                <w:rFonts w:cs="Times New Roman"/>
              </w:rPr>
              <w:t xml:space="preserve">onsideramos </w:t>
            </w:r>
            <w:r w:rsidR="005E4FEF">
              <w:rPr>
                <w:rFonts w:cs="Times New Roman"/>
              </w:rPr>
              <w:t xml:space="preserve">es </w:t>
            </w:r>
            <w:r>
              <w:rPr>
                <w:rFonts w:cs="Times New Roman"/>
              </w:rPr>
              <w:t xml:space="preserve">un área de especial análisis por nuestra parte. </w:t>
            </w:r>
          </w:p>
        </w:tc>
      </w:tr>
      <w:tr w:rsidR="006A30D4" w:rsidTr="000A1BA8">
        <w:tc>
          <w:tcPr>
            <w:tcW w:w="2350" w:type="dxa"/>
          </w:tcPr>
          <w:p w:rsidR="006A30D4" w:rsidRPr="00797642" w:rsidRDefault="006A30D4" w:rsidP="006A30D4">
            <w:pPr>
              <w:jc w:val="both"/>
              <w:rPr>
                <w:rFonts w:cs="Times New Roman"/>
              </w:rPr>
            </w:pPr>
            <w:r>
              <w:t>Todo el Balance y cuenta de Pérdidas y Ganancias por la cesión global del activo y pasivo de la sociedad a su socio único</w:t>
            </w:r>
            <w:r w:rsidR="004903E8">
              <w:t>.</w:t>
            </w:r>
          </w:p>
        </w:tc>
        <w:tc>
          <w:tcPr>
            <w:tcW w:w="6859" w:type="dxa"/>
            <w:gridSpan w:val="2"/>
          </w:tcPr>
          <w:p w:rsidR="006A30D4" w:rsidRDefault="006A30D4" w:rsidP="006A30D4">
            <w:pPr>
              <w:jc w:val="both"/>
              <w:rPr>
                <w:rFonts w:cs="Times New Roman"/>
              </w:rPr>
            </w:pPr>
            <w:r>
              <w:rPr>
                <w:rFonts w:cs="Times New Roman"/>
              </w:rPr>
              <w:t xml:space="preserve">Todas las actividades de reestructuración </w:t>
            </w:r>
            <w:proofErr w:type="gramStart"/>
            <w:r>
              <w:rPr>
                <w:rFonts w:cs="Times New Roman"/>
              </w:rPr>
              <w:t>empresarial,</w:t>
            </w:r>
            <w:proofErr w:type="gramEnd"/>
            <w:r>
              <w:rPr>
                <w:rFonts w:cs="Times New Roman"/>
              </w:rPr>
              <w:t xml:space="preserve"> plantean una dificulta añadida a la contabilidad de la sociedad, en su caso asociación, que adquiere dichos activos y pasivos. Durante 2017 la Junta General de socios de “</w:t>
            </w:r>
            <w:r w:rsidR="00161A1E">
              <w:rPr>
                <w:rFonts w:cs="Times New Roman"/>
              </w:rPr>
              <w:t>Sociedad Cedida”</w:t>
            </w:r>
            <w:r>
              <w:rPr>
                <w:rFonts w:cs="Times New Roman"/>
              </w:rPr>
              <w:t xml:space="preserve"> aprobó la cesión global de activos y pasivos a su único accionista </w:t>
            </w:r>
            <w:r w:rsidR="00161A1E">
              <w:rPr>
                <w:rFonts w:cs="Times New Roman"/>
              </w:rPr>
              <w:t>Sociedad Matriz</w:t>
            </w:r>
            <w:r>
              <w:rPr>
                <w:rFonts w:cs="Times New Roman"/>
              </w:rPr>
              <w:t xml:space="preserve">. </w:t>
            </w:r>
          </w:p>
          <w:p w:rsidR="006A30D4" w:rsidRDefault="006A30D4" w:rsidP="006A30D4">
            <w:pPr>
              <w:jc w:val="both"/>
              <w:rPr>
                <w:rFonts w:cs="Times New Roman"/>
              </w:rPr>
            </w:pPr>
          </w:p>
          <w:p w:rsidR="006A30D4" w:rsidRDefault="006A30D4" w:rsidP="006A30D4">
            <w:pPr>
              <w:jc w:val="both"/>
              <w:rPr>
                <w:rFonts w:cs="Times New Roman"/>
              </w:rPr>
            </w:pPr>
            <w:r>
              <w:rPr>
                <w:rFonts w:cs="Times New Roman"/>
              </w:rPr>
              <w:t>Este hecho dificulta enormemente la formulación de las cuentas anuales de</w:t>
            </w:r>
            <w:r w:rsidR="00161A1E">
              <w:rPr>
                <w:rFonts w:cs="Times New Roman"/>
              </w:rPr>
              <w:t xml:space="preserve"> Matriz</w:t>
            </w:r>
            <w:r>
              <w:rPr>
                <w:rFonts w:cs="Times New Roman"/>
              </w:rPr>
              <w:t xml:space="preserve">, por cuanto hay que integrar con efectos desde el 1 de </w:t>
            </w:r>
            <w:proofErr w:type="gramStart"/>
            <w:r>
              <w:rPr>
                <w:rFonts w:cs="Times New Roman"/>
              </w:rPr>
              <w:t>Enero</w:t>
            </w:r>
            <w:proofErr w:type="gramEnd"/>
            <w:r>
              <w:rPr>
                <w:rFonts w:cs="Times New Roman"/>
              </w:rPr>
              <w:t xml:space="preserve"> de 2017, todas las transacciones y partidas de balance de </w:t>
            </w:r>
            <w:r w:rsidR="00161A1E">
              <w:rPr>
                <w:rFonts w:cs="Times New Roman"/>
              </w:rPr>
              <w:t>Sociedad Cedida</w:t>
            </w:r>
            <w:r>
              <w:rPr>
                <w:rFonts w:cs="Times New Roman"/>
              </w:rPr>
              <w:t>, en las cuentas anuales de</w:t>
            </w:r>
            <w:r w:rsidR="00161A1E">
              <w:rPr>
                <w:rFonts w:cs="Times New Roman"/>
              </w:rPr>
              <w:t xml:space="preserve"> Sociedad Matriz</w:t>
            </w:r>
            <w:r>
              <w:rPr>
                <w:rFonts w:cs="Times New Roman"/>
              </w:rPr>
              <w:t xml:space="preserve"> y requiere además que dicha integración esté convenientemente informada en la memoria de las CCAA de </w:t>
            </w:r>
            <w:r w:rsidR="00161A1E">
              <w:rPr>
                <w:rFonts w:cs="Times New Roman"/>
              </w:rPr>
              <w:t>Sociedad Matriz</w:t>
            </w:r>
            <w:r>
              <w:rPr>
                <w:rFonts w:cs="Times New Roman"/>
              </w:rPr>
              <w:t>.</w:t>
            </w:r>
          </w:p>
          <w:p w:rsidR="006A30D4" w:rsidRDefault="006A30D4" w:rsidP="006A30D4">
            <w:pPr>
              <w:jc w:val="both"/>
              <w:rPr>
                <w:rFonts w:cs="Times New Roman"/>
              </w:rPr>
            </w:pPr>
          </w:p>
          <w:p w:rsidR="006A30D4" w:rsidRDefault="006A30D4" w:rsidP="006A30D4">
            <w:pPr>
              <w:jc w:val="both"/>
              <w:rPr>
                <w:rFonts w:cs="Times New Roman"/>
              </w:rPr>
            </w:pPr>
            <w:r>
              <w:rPr>
                <w:rFonts w:cs="Times New Roman"/>
              </w:rPr>
              <w:t xml:space="preserve">Este es por tanto a nuestro juicio un aspecto muy relevante de la auditoria y por consiguiente debe ser objeto de un mayor análisis por su parte y por la nuestra.  </w:t>
            </w:r>
          </w:p>
          <w:p w:rsidR="006A30D4" w:rsidRPr="009D1752" w:rsidRDefault="006A30D4" w:rsidP="006A30D4">
            <w:pPr>
              <w:jc w:val="both"/>
              <w:rPr>
                <w:rFonts w:cs="Times New Roman"/>
              </w:rPr>
            </w:pPr>
          </w:p>
        </w:tc>
      </w:tr>
      <w:tr w:rsidR="006A30D4" w:rsidTr="000A1BA8">
        <w:tc>
          <w:tcPr>
            <w:tcW w:w="2350" w:type="dxa"/>
          </w:tcPr>
          <w:p w:rsidR="006A30D4" w:rsidRPr="00797642" w:rsidRDefault="006A30D4" w:rsidP="006A30D4">
            <w:pPr>
              <w:jc w:val="both"/>
              <w:rPr>
                <w:rFonts w:cs="Times New Roman"/>
              </w:rPr>
            </w:pPr>
            <w:r>
              <w:rPr>
                <w:rFonts w:cs="Times New Roman"/>
              </w:rPr>
              <w:t xml:space="preserve">Convenios con Entidades Financieras </w:t>
            </w:r>
          </w:p>
        </w:tc>
        <w:tc>
          <w:tcPr>
            <w:tcW w:w="6859" w:type="dxa"/>
            <w:gridSpan w:val="2"/>
          </w:tcPr>
          <w:p w:rsidR="006A30D4" w:rsidRDefault="006A30D4" w:rsidP="006A30D4">
            <w:pPr>
              <w:jc w:val="both"/>
              <w:rPr>
                <w:rFonts w:cs="Times New Roman"/>
              </w:rPr>
            </w:pPr>
            <w:r>
              <w:rPr>
                <w:rFonts w:cs="Times New Roman"/>
              </w:rPr>
              <w:t xml:space="preserve">En </w:t>
            </w:r>
            <w:r w:rsidR="00161A1E">
              <w:rPr>
                <w:rFonts w:cs="Times New Roman"/>
              </w:rPr>
              <w:t>empresas</w:t>
            </w:r>
            <w:r>
              <w:rPr>
                <w:rFonts w:cs="Times New Roman"/>
              </w:rPr>
              <w:t xml:space="preserve"> y organizaciones similares a las de Uds. que colaboran en la tramitación de las Ayudas, es muy importante, la redacción de los convenios con las entidades financieras, ya que en función de la redacción que se haga de ellos y los conceptos recogidos en el acuerdo, se derivan diferentes interpretaciones fiscales de dichos convenios y la consiguiente interpretación contable y fiscal de los mismos. En ese sentido, una incorrecta interpretación de los convenios puede implicar errores en las cuentas anuales y por lo tanto debe ser objeto de una atención especial por su parte y por la nuestra</w:t>
            </w:r>
          </w:p>
        </w:tc>
      </w:tr>
      <w:tr w:rsidR="006A30D4" w:rsidTr="00680E27">
        <w:tc>
          <w:tcPr>
            <w:tcW w:w="2390" w:type="dxa"/>
            <w:gridSpan w:val="2"/>
          </w:tcPr>
          <w:p w:rsidR="006A30D4" w:rsidRPr="00797642" w:rsidRDefault="006A30D4" w:rsidP="00680E27">
            <w:pPr>
              <w:jc w:val="both"/>
              <w:rPr>
                <w:rFonts w:cs="Times New Roman"/>
              </w:rPr>
            </w:pPr>
            <w:r w:rsidRPr="00797642">
              <w:rPr>
                <w:rFonts w:cs="Times New Roman"/>
              </w:rPr>
              <w:t>INMOVILIZADO MATERIAL</w:t>
            </w:r>
          </w:p>
        </w:tc>
        <w:tc>
          <w:tcPr>
            <w:tcW w:w="6819" w:type="dxa"/>
          </w:tcPr>
          <w:p w:rsidR="006A30D4" w:rsidRDefault="006A30D4" w:rsidP="00680E27">
            <w:pPr>
              <w:jc w:val="both"/>
              <w:rPr>
                <w:rFonts w:cs="Times New Roman"/>
              </w:rPr>
            </w:pPr>
            <w:r>
              <w:rPr>
                <w:rFonts w:cs="Times New Roman"/>
              </w:rPr>
              <w:t xml:space="preserve">En empresas de fabricación, en donde la producción de la fábrica depende en gran medida de la existencia de varios turnos de trabajo, produce que la vida útil de los activos afectos a dicha producción se vea alterada en función de la utilización de </w:t>
            </w:r>
            <w:proofErr w:type="gramStart"/>
            <w:r>
              <w:rPr>
                <w:rFonts w:cs="Times New Roman"/>
              </w:rPr>
              <w:t>los mismos</w:t>
            </w:r>
            <w:proofErr w:type="gramEnd"/>
            <w:r>
              <w:rPr>
                <w:rFonts w:cs="Times New Roman"/>
              </w:rPr>
              <w:t xml:space="preserve">, que viene a su vez determinada por los turnos de trabajo. Esta situación, común a </w:t>
            </w:r>
            <w:r>
              <w:rPr>
                <w:rFonts w:cs="Times New Roman"/>
              </w:rPr>
              <w:lastRenderedPageBreak/>
              <w:t xml:space="preserve">empresas productoras, hace que la estimación de la amortización de los inmovilizados no pueda realizarse de una manera lineal, sino que la misma variará en función de los turnos de trabajo que desde la dirección se consideren necesarios para acometer las necesidades de producción exigidas por las necesidades del mercado siendo un aspecto relevante de la auditoria y por consiguiente debe ser objeto de un mayor análisis por su parte y por la nuestra.  </w:t>
            </w:r>
          </w:p>
        </w:tc>
      </w:tr>
      <w:tr w:rsidR="006A30D4" w:rsidTr="00680E27">
        <w:tc>
          <w:tcPr>
            <w:tcW w:w="2390" w:type="dxa"/>
            <w:gridSpan w:val="2"/>
          </w:tcPr>
          <w:p w:rsidR="006A30D4" w:rsidRPr="00797642" w:rsidRDefault="006A30D4" w:rsidP="00680E27">
            <w:pPr>
              <w:jc w:val="both"/>
              <w:rPr>
                <w:rFonts w:cs="Times New Roman"/>
              </w:rPr>
            </w:pPr>
            <w:r w:rsidRPr="00797642">
              <w:rPr>
                <w:rFonts w:cs="Times New Roman"/>
              </w:rPr>
              <w:lastRenderedPageBreak/>
              <w:t>INMOVILIZADO MATERIAL</w:t>
            </w:r>
            <w:r>
              <w:rPr>
                <w:rFonts w:cs="Times New Roman"/>
              </w:rPr>
              <w:t xml:space="preserve"> (COMPRAS Y REPARACIONES)</w:t>
            </w:r>
          </w:p>
        </w:tc>
        <w:tc>
          <w:tcPr>
            <w:tcW w:w="6819" w:type="dxa"/>
          </w:tcPr>
          <w:p w:rsidR="006A30D4" w:rsidRDefault="006A30D4" w:rsidP="00680E27">
            <w:pPr>
              <w:jc w:val="both"/>
              <w:rPr>
                <w:rFonts w:cs="Times New Roman"/>
              </w:rPr>
            </w:pPr>
            <w:r>
              <w:rPr>
                <w:rFonts w:cs="Times New Roman"/>
              </w:rPr>
              <w:t>En empresas de fabricación, una parte muy importante del proceso productivo lo compone la maquinaria y las instalaciones</w:t>
            </w:r>
            <w:r w:rsidR="00161A1E">
              <w:rPr>
                <w:rFonts w:cs="Times New Roman"/>
              </w:rPr>
              <w:t>.</w:t>
            </w:r>
            <w:r>
              <w:rPr>
                <w:rFonts w:cs="Times New Roman"/>
              </w:rPr>
              <w:t xml:space="preserve"> En la medida en que las necesidades de producción aumentan y </w:t>
            </w:r>
            <w:proofErr w:type="spellStart"/>
            <w:r>
              <w:rPr>
                <w:rFonts w:cs="Times New Roman"/>
              </w:rPr>
              <w:t>mas</w:t>
            </w:r>
            <w:proofErr w:type="spellEnd"/>
            <w:r>
              <w:rPr>
                <w:rFonts w:cs="Times New Roman"/>
              </w:rPr>
              <w:t xml:space="preserve"> en un sector cuya demanda del producto está concentrada en una determinada época del año, el aumento de los turnos y trabajo hace que se lleve, en ocasiones, a la maquinaria al límite y se produzcan roturas y reparaciones, que en algunas ocasiones se corresponden con gastos del ejercicio pero que en otras y dado que prolongan la vida útil de dicha maquinaria, deben ser activados. Por otra parte, al ser el producto vendido por la sociedad un producto de bajo margen, se producen por la necesidad de competir en un mercado muy competitivo, continuas compras de maquinaria nueva, que hacen obsoletas en el momento de la compra, la maquinaria anterior. En ese, sentido es importante que los administradores de la sociedad tengan establecidos un procedimiento que les permita dar de alta la nueva maquinara y aprobar de la misma manera la baja de </w:t>
            </w:r>
            <w:proofErr w:type="gramStart"/>
            <w:r>
              <w:rPr>
                <w:rFonts w:cs="Times New Roman"/>
              </w:rPr>
              <w:t>las mismas</w:t>
            </w:r>
            <w:proofErr w:type="gramEnd"/>
            <w:r>
              <w:rPr>
                <w:rFonts w:cs="Times New Roman"/>
              </w:rPr>
              <w:t xml:space="preserve"> del inventario de bienes. </w:t>
            </w:r>
          </w:p>
          <w:p w:rsidR="006A30D4" w:rsidRDefault="006A30D4" w:rsidP="00680E27">
            <w:pPr>
              <w:jc w:val="both"/>
              <w:rPr>
                <w:rFonts w:cs="Times New Roman"/>
              </w:rPr>
            </w:pPr>
          </w:p>
          <w:p w:rsidR="006A30D4" w:rsidRDefault="006A30D4" w:rsidP="00680E27">
            <w:pPr>
              <w:jc w:val="both"/>
              <w:rPr>
                <w:rFonts w:cs="Times New Roman"/>
              </w:rPr>
            </w:pPr>
            <w:r>
              <w:rPr>
                <w:rFonts w:cs="Times New Roman"/>
              </w:rPr>
              <w:t xml:space="preserve">Consideramos </w:t>
            </w:r>
            <w:proofErr w:type="gramStart"/>
            <w:r>
              <w:rPr>
                <w:rFonts w:cs="Times New Roman"/>
              </w:rPr>
              <w:t>que</w:t>
            </w:r>
            <w:proofErr w:type="gramEnd"/>
            <w:r>
              <w:rPr>
                <w:rFonts w:cs="Times New Roman"/>
              </w:rPr>
              <w:t xml:space="preserve"> dadas las características de su negocio, la presión de fabricación que reciben de sus clientes, este es una área de especial atención por la gerencia, dirección financiera y dirección contable y por nuestro equipo de auditoría.</w:t>
            </w:r>
          </w:p>
        </w:tc>
      </w:tr>
      <w:tr w:rsidR="006A30D4" w:rsidTr="000A1BA8">
        <w:tc>
          <w:tcPr>
            <w:tcW w:w="2350" w:type="dxa"/>
          </w:tcPr>
          <w:p w:rsidR="006A30D4" w:rsidRPr="00797642" w:rsidRDefault="006A30D4" w:rsidP="006A30D4">
            <w:pPr>
              <w:jc w:val="both"/>
              <w:rPr>
                <w:rFonts w:cs="Times New Roman"/>
              </w:rPr>
            </w:pPr>
            <w:r w:rsidRPr="00797642">
              <w:rPr>
                <w:rFonts w:cs="Times New Roman"/>
              </w:rPr>
              <w:t>INMOVILIZADO MATERIAL</w:t>
            </w:r>
          </w:p>
        </w:tc>
        <w:tc>
          <w:tcPr>
            <w:tcW w:w="6859" w:type="dxa"/>
            <w:gridSpan w:val="2"/>
          </w:tcPr>
          <w:p w:rsidR="006A30D4" w:rsidRDefault="006A30D4" w:rsidP="006A30D4">
            <w:pPr>
              <w:jc w:val="both"/>
              <w:rPr>
                <w:rFonts w:cs="Times New Roman"/>
              </w:rPr>
            </w:pPr>
            <w:r>
              <w:rPr>
                <w:rFonts w:cs="Times New Roman"/>
              </w:rPr>
              <w:t>Durante este ejercicio la sociedad que Uds. gestionan ha realizado importantes obras de reforma de sus instalaciones que, a su vez, han producido, el derribo de construcciones e instalaciones adquiridas con anterioridad y algunas de ellas con valor neto contable.</w:t>
            </w:r>
          </w:p>
          <w:p w:rsidR="006A30D4" w:rsidRDefault="006A30D4" w:rsidP="006A30D4">
            <w:pPr>
              <w:jc w:val="both"/>
              <w:rPr>
                <w:rFonts w:cs="Times New Roman"/>
              </w:rPr>
            </w:pPr>
          </w:p>
          <w:p w:rsidR="006A30D4" w:rsidRDefault="006A30D4" w:rsidP="006A30D4">
            <w:pPr>
              <w:jc w:val="both"/>
              <w:rPr>
                <w:rFonts w:cs="Times New Roman"/>
              </w:rPr>
            </w:pPr>
            <w:r>
              <w:rPr>
                <w:rFonts w:cs="Times New Roman"/>
              </w:rPr>
              <w:t>Este tipo de operaciones que no se realizan de una manera habitual en cualquier negocio, hace que deba prestarse una especial atención a los inmovilizados que, como consecuencia de dicha reforma, deban ser dados de baja, así como el alta de las instalaciones nuevas y el comienzo de su puesta en funcionamiento.</w:t>
            </w:r>
          </w:p>
          <w:p w:rsidR="006A30D4" w:rsidRDefault="006A30D4" w:rsidP="006A30D4">
            <w:pPr>
              <w:jc w:val="both"/>
              <w:rPr>
                <w:rFonts w:cs="Times New Roman"/>
              </w:rPr>
            </w:pPr>
          </w:p>
          <w:p w:rsidR="006A30D4" w:rsidRDefault="006A30D4" w:rsidP="006A30D4">
            <w:pPr>
              <w:jc w:val="both"/>
              <w:rPr>
                <w:rFonts w:cs="Times New Roman"/>
              </w:rPr>
            </w:pPr>
            <w:r>
              <w:rPr>
                <w:rFonts w:cs="Times New Roman"/>
              </w:rPr>
              <w:t xml:space="preserve">Al ser un área relevante de sus estados financieros, y no ser operaciones habituales del negocio, creemos al igual que Uds. que es un área de atención especial. </w:t>
            </w:r>
          </w:p>
          <w:p w:rsidR="006A30D4" w:rsidRDefault="006A30D4" w:rsidP="006A30D4">
            <w:pPr>
              <w:jc w:val="both"/>
              <w:rPr>
                <w:rFonts w:cs="Times New Roman"/>
              </w:rPr>
            </w:pPr>
          </w:p>
        </w:tc>
      </w:tr>
      <w:tr w:rsidR="006A30D4" w:rsidTr="000A1BA8">
        <w:tc>
          <w:tcPr>
            <w:tcW w:w="2350" w:type="dxa"/>
          </w:tcPr>
          <w:p w:rsidR="006A30D4" w:rsidRPr="00797642" w:rsidRDefault="006A30D4" w:rsidP="006A30D4">
            <w:pPr>
              <w:jc w:val="both"/>
              <w:rPr>
                <w:rFonts w:cs="Times New Roman"/>
              </w:rPr>
            </w:pPr>
            <w:r>
              <w:rPr>
                <w:rFonts w:cs="Times New Roman"/>
              </w:rPr>
              <w:t>Conciliación de cuentas con la Marca</w:t>
            </w:r>
          </w:p>
        </w:tc>
        <w:tc>
          <w:tcPr>
            <w:tcW w:w="6859" w:type="dxa"/>
            <w:gridSpan w:val="2"/>
          </w:tcPr>
          <w:p w:rsidR="006A30D4" w:rsidRDefault="006A30D4" w:rsidP="006A30D4">
            <w:pPr>
              <w:jc w:val="both"/>
              <w:rPr>
                <w:rFonts w:cs="Times New Roman"/>
              </w:rPr>
            </w:pPr>
            <w:r>
              <w:rPr>
                <w:rFonts w:cs="Times New Roman"/>
              </w:rPr>
              <w:t xml:space="preserve">En empresas de concesionarios de </w:t>
            </w:r>
            <w:r w:rsidR="00161A1E">
              <w:rPr>
                <w:rFonts w:cs="Times New Roman"/>
              </w:rPr>
              <w:t>automóviles</w:t>
            </w:r>
            <w:r>
              <w:rPr>
                <w:rFonts w:cs="Times New Roman"/>
              </w:rPr>
              <w:t xml:space="preserve">, un aspecto muy importante y de difícil control para este tipo de sociedades, es la estimación al cierre del ejercicio de los ingresos, </w:t>
            </w:r>
            <w:proofErr w:type="gramStart"/>
            <w:r>
              <w:rPr>
                <w:rFonts w:cs="Times New Roman"/>
              </w:rPr>
              <w:t>que</w:t>
            </w:r>
            <w:proofErr w:type="gramEnd"/>
            <w:r>
              <w:rPr>
                <w:rFonts w:cs="Times New Roman"/>
              </w:rPr>
              <w:t xml:space="preserve"> por el cumplimiento de objetivos con la marca, deban ser abonados y facturados por la marca. Es común en el sector que el corte de operaciones de estas marcas de automóviles no sea del todo correcto, </w:t>
            </w:r>
            <w:r>
              <w:rPr>
                <w:rFonts w:cs="Times New Roman"/>
              </w:rPr>
              <w:lastRenderedPageBreak/>
              <w:t xml:space="preserve">al considerar determinadas obligaciones con respecto al concesionario, que se devengan en el momento de su facturación, que en lo relativo al último trimestre o mes del año sean facturados en el ejercicio siguiente. De seguir el criterio de estas marcas, se produciría una incorrecta imputación temporal de los ingresos del concesionario, </w:t>
            </w:r>
            <w:proofErr w:type="gramStart"/>
            <w:r>
              <w:rPr>
                <w:rFonts w:cs="Times New Roman"/>
              </w:rPr>
              <w:t>que</w:t>
            </w:r>
            <w:proofErr w:type="gramEnd"/>
            <w:r>
              <w:rPr>
                <w:rFonts w:cs="Times New Roman"/>
              </w:rPr>
              <w:t xml:space="preserve"> al margen de las consecuencias fiscales, supondría un error en la determinación de los ingresos, resultados del ejercicio y del saldo a cobrar de la Marca.</w:t>
            </w:r>
          </w:p>
          <w:p w:rsidR="006A30D4" w:rsidRDefault="006A30D4" w:rsidP="006A30D4">
            <w:pPr>
              <w:jc w:val="both"/>
              <w:rPr>
                <w:rFonts w:cs="Times New Roman"/>
              </w:rPr>
            </w:pPr>
          </w:p>
          <w:p w:rsidR="006A30D4" w:rsidRDefault="006A30D4" w:rsidP="006A30D4">
            <w:pPr>
              <w:jc w:val="both"/>
              <w:rPr>
                <w:rFonts w:cs="Times New Roman"/>
              </w:rPr>
            </w:pPr>
            <w:r>
              <w:rPr>
                <w:rFonts w:cs="Times New Roman"/>
              </w:rPr>
              <w:t xml:space="preserve">Al igual que Uds. creemos que es un área de especial atención por su parte y por la nuestra. </w:t>
            </w:r>
          </w:p>
          <w:p w:rsidR="006A30D4" w:rsidRDefault="006A30D4" w:rsidP="006A30D4">
            <w:pPr>
              <w:jc w:val="both"/>
              <w:rPr>
                <w:rFonts w:cs="Times New Roman"/>
              </w:rPr>
            </w:pPr>
          </w:p>
        </w:tc>
      </w:tr>
      <w:tr w:rsidR="006A30D4" w:rsidTr="000A1BA8">
        <w:tc>
          <w:tcPr>
            <w:tcW w:w="2350" w:type="dxa"/>
          </w:tcPr>
          <w:p w:rsidR="006A30D4" w:rsidRDefault="006A30D4" w:rsidP="006A30D4">
            <w:pPr>
              <w:jc w:val="both"/>
              <w:rPr>
                <w:rFonts w:cs="Times New Roman"/>
              </w:rPr>
            </w:pPr>
            <w:r>
              <w:rPr>
                <w:rFonts w:cs="Times New Roman"/>
              </w:rPr>
              <w:lastRenderedPageBreak/>
              <w:t>Existencias</w:t>
            </w:r>
          </w:p>
        </w:tc>
        <w:tc>
          <w:tcPr>
            <w:tcW w:w="6859" w:type="dxa"/>
            <w:gridSpan w:val="2"/>
          </w:tcPr>
          <w:p w:rsidR="006A30D4" w:rsidRDefault="006A30D4" w:rsidP="006A30D4">
            <w:pPr>
              <w:jc w:val="both"/>
              <w:rPr>
                <w:rFonts w:cs="Times New Roman"/>
              </w:rPr>
            </w:pPr>
            <w:r>
              <w:rPr>
                <w:rFonts w:cs="Times New Roman"/>
              </w:rPr>
              <w:t xml:space="preserve">En empresas concesionarios de automóviles esta área tiene una gran importancia relativa en el balance debido al valor que tanto los vehículos nuevos y usados como las piezas de recambio y reparaciones en curso, pero también los movimientos de </w:t>
            </w:r>
            <w:proofErr w:type="gramStart"/>
            <w:r>
              <w:rPr>
                <w:rFonts w:cs="Times New Roman"/>
              </w:rPr>
              <w:t>las mismas</w:t>
            </w:r>
            <w:proofErr w:type="gramEnd"/>
            <w:r>
              <w:rPr>
                <w:rFonts w:cs="Times New Roman"/>
              </w:rPr>
              <w:t xml:space="preserve"> y su efecto importante en la cuenta de pérdidas y ganancias, que de por sí la hace un área de especial interés para su negocio y para la corrección de las cuentas anuales. </w:t>
            </w:r>
          </w:p>
          <w:p w:rsidR="006A30D4" w:rsidRDefault="006A30D4" w:rsidP="006A30D4">
            <w:pPr>
              <w:jc w:val="both"/>
              <w:rPr>
                <w:rFonts w:cs="Times New Roman"/>
              </w:rPr>
            </w:pPr>
            <w:bookmarkStart w:id="1" w:name="_GoBack"/>
            <w:bookmarkEnd w:id="1"/>
          </w:p>
          <w:p w:rsidR="006A30D4" w:rsidRDefault="006A30D4" w:rsidP="006A30D4">
            <w:pPr>
              <w:jc w:val="both"/>
              <w:rPr>
                <w:rFonts w:cs="Times New Roman"/>
              </w:rPr>
            </w:pPr>
            <w:r>
              <w:rPr>
                <w:rFonts w:cs="Times New Roman"/>
              </w:rPr>
              <w:t xml:space="preserve">Es por ello </w:t>
            </w:r>
            <w:proofErr w:type="gramStart"/>
            <w:r>
              <w:rPr>
                <w:rFonts w:cs="Times New Roman"/>
              </w:rPr>
              <w:t>que</w:t>
            </w:r>
            <w:proofErr w:type="gramEnd"/>
            <w:r>
              <w:rPr>
                <w:rFonts w:cs="Times New Roman"/>
              </w:rPr>
              <w:t xml:space="preserve">, al igual que </w:t>
            </w:r>
            <w:proofErr w:type="spellStart"/>
            <w:r>
              <w:rPr>
                <w:rFonts w:cs="Times New Roman"/>
              </w:rPr>
              <w:t>uds</w:t>
            </w:r>
            <w:proofErr w:type="spellEnd"/>
            <w:r>
              <w:rPr>
                <w:rFonts w:cs="Times New Roman"/>
              </w:rPr>
              <w:t xml:space="preserve">, consideramos que este es un área de especial interés en la auditoría. </w:t>
            </w:r>
          </w:p>
        </w:tc>
      </w:tr>
      <w:bookmarkEnd w:id="0"/>
    </w:tbl>
    <w:p w:rsidR="00FF66AA" w:rsidRDefault="001B79A7"/>
    <w:sectPr w:rsidR="00FF66A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A7" w:rsidRDefault="001B79A7" w:rsidP="000C23AE">
      <w:pPr>
        <w:spacing w:line="240" w:lineRule="auto"/>
      </w:pPr>
      <w:r>
        <w:separator/>
      </w:r>
    </w:p>
  </w:endnote>
  <w:endnote w:type="continuationSeparator" w:id="0">
    <w:p w:rsidR="001B79A7" w:rsidRDefault="001B79A7" w:rsidP="000C2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AE" w:rsidRDefault="000C23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AE" w:rsidRDefault="000C23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AE" w:rsidRDefault="000C23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A7" w:rsidRDefault="001B79A7" w:rsidP="000C23AE">
      <w:pPr>
        <w:spacing w:line="240" w:lineRule="auto"/>
      </w:pPr>
      <w:r>
        <w:separator/>
      </w:r>
    </w:p>
  </w:footnote>
  <w:footnote w:type="continuationSeparator" w:id="0">
    <w:p w:rsidR="001B79A7" w:rsidRDefault="001B79A7" w:rsidP="000C23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AE" w:rsidRDefault="000C23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AE" w:rsidRPr="000C23AE" w:rsidRDefault="000C23AE">
    <w:pPr>
      <w:pStyle w:val="Encabezado"/>
      <w:rPr>
        <w:b/>
      </w:rPr>
    </w:pPr>
    <w:r w:rsidRPr="000C23AE">
      <w:rPr>
        <w:b/>
      </w:rPr>
      <w:t>ARA: ASUNTOS RELEVANTES DE AUDITORIA O KEY AUDIT MATTERS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3AE" w:rsidRDefault="000C23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951E6"/>
    <w:multiLevelType w:val="hybridMultilevel"/>
    <w:tmpl w:val="EC74D7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AE"/>
    <w:rsid w:val="000A1BA8"/>
    <w:rsid w:val="000C23AE"/>
    <w:rsid w:val="00161A1E"/>
    <w:rsid w:val="001B79A7"/>
    <w:rsid w:val="00265C93"/>
    <w:rsid w:val="004243BA"/>
    <w:rsid w:val="004903E8"/>
    <w:rsid w:val="005E4FEF"/>
    <w:rsid w:val="005F746C"/>
    <w:rsid w:val="006008AC"/>
    <w:rsid w:val="006A30D4"/>
    <w:rsid w:val="006C0301"/>
    <w:rsid w:val="006D09F4"/>
    <w:rsid w:val="0078398D"/>
    <w:rsid w:val="00B9715B"/>
    <w:rsid w:val="00BE4718"/>
    <w:rsid w:val="00C90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E2CD"/>
  <w15:chartTrackingRefBased/>
  <w15:docId w15:val="{126F046C-B289-4E78-B2A8-2933824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E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3AE"/>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9715B"/>
    <w:pPr>
      <w:tabs>
        <w:tab w:val="center" w:pos="4252"/>
        <w:tab w:val="right" w:pos="8504"/>
      </w:tabs>
      <w:spacing w:line="240" w:lineRule="auto"/>
    </w:pPr>
    <w:rPr>
      <w:rFonts w:eastAsiaTheme="minorHAnsi"/>
      <w:lang w:eastAsia="en-US"/>
    </w:rPr>
  </w:style>
  <w:style w:type="character" w:customStyle="1" w:styleId="EncabezadoCar">
    <w:name w:val="Encabezado Car"/>
    <w:basedOn w:val="Fuentedeprrafopredeter"/>
    <w:link w:val="Encabezado"/>
    <w:rsid w:val="00B9715B"/>
    <w:rPr>
      <w:rFonts w:eastAsiaTheme="minorEastAsia"/>
      <w:lang w:eastAsia="es-ES"/>
    </w:rPr>
  </w:style>
  <w:style w:type="paragraph" w:styleId="Piedepgina">
    <w:name w:val="footer"/>
    <w:basedOn w:val="Normal"/>
    <w:link w:val="PiedepginaCar"/>
    <w:uiPriority w:val="99"/>
    <w:unhideWhenUsed/>
    <w:rsid w:val="00B9715B"/>
    <w:pPr>
      <w:tabs>
        <w:tab w:val="center" w:pos="4252"/>
        <w:tab w:val="right" w:pos="8504"/>
      </w:tabs>
      <w:spacing w:line="240" w:lineRule="auto"/>
    </w:pPr>
    <w:rPr>
      <w:rFonts w:eastAsiaTheme="minorHAnsi"/>
      <w:lang w:eastAsia="en-US"/>
    </w:rPr>
  </w:style>
  <w:style w:type="character" w:customStyle="1" w:styleId="PiedepginaCar">
    <w:name w:val="Pie de página Car"/>
    <w:basedOn w:val="Fuentedeprrafopredeter"/>
    <w:link w:val="Piedepgina"/>
    <w:uiPriority w:val="99"/>
    <w:rsid w:val="00B9715B"/>
    <w:rPr>
      <w:rFonts w:eastAsiaTheme="minorEastAsia"/>
      <w:lang w:eastAsia="es-ES"/>
    </w:rPr>
  </w:style>
  <w:style w:type="character" w:styleId="Hipervnculo">
    <w:name w:val="Hyperlink"/>
    <w:rsid w:val="00B9715B"/>
    <w:rPr>
      <w:color w:val="0000FF"/>
      <w:u w:val="single"/>
    </w:rPr>
  </w:style>
  <w:style w:type="paragraph" w:styleId="Textodeglobo">
    <w:name w:val="Balloon Text"/>
    <w:basedOn w:val="Normal"/>
    <w:link w:val="TextodegloboCar"/>
    <w:uiPriority w:val="99"/>
    <w:semiHidden/>
    <w:unhideWhenUsed/>
    <w:rsid w:val="00B9715B"/>
    <w:pPr>
      <w:spacing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9715B"/>
    <w:rPr>
      <w:rFonts w:ascii="Tahoma" w:eastAsiaTheme="minorEastAsia" w:hAnsi="Tahoma" w:cs="Tahoma"/>
      <w:sz w:val="16"/>
      <w:szCs w:val="16"/>
      <w:lang w:eastAsia="es-ES"/>
    </w:rPr>
  </w:style>
  <w:style w:type="table" w:styleId="Tablaconcuadrcula">
    <w:name w:val="Table Grid"/>
    <w:basedOn w:val="Tablanormal"/>
    <w:uiPriority w:val="59"/>
    <w:rsid w:val="00B9715B"/>
    <w:pPr>
      <w:spacing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9715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2049</Words>
  <Characters>11270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X</dc:creator>
  <cp:keywords/>
  <dc:description/>
  <cp:lastModifiedBy>MR X</cp:lastModifiedBy>
  <cp:revision>4</cp:revision>
  <dcterms:created xsi:type="dcterms:W3CDTF">2018-02-27T16:06:00Z</dcterms:created>
  <dcterms:modified xsi:type="dcterms:W3CDTF">2018-02-28T18:39:00Z</dcterms:modified>
</cp:coreProperties>
</file>