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4E" w:rsidRPr="00933B4E" w:rsidRDefault="009C5BE8" w:rsidP="00933B4E">
      <w:pPr>
        <w:jc w:val="center"/>
        <w:rPr>
          <w:rFonts w:asciiTheme="minorHAnsi" w:hAnsiTheme="minorHAnsi" w:cstheme="minorHAnsi"/>
          <w:b/>
          <w:color w:val="7030A0"/>
          <w:sz w:val="28"/>
          <w:szCs w:val="28"/>
        </w:rPr>
      </w:pPr>
      <w:r>
        <w:rPr>
          <w:rFonts w:asciiTheme="minorHAnsi" w:hAnsiTheme="minorHAnsi" w:cstheme="minorHAnsi"/>
          <w:b/>
          <w:color w:val="7030A0"/>
          <w:sz w:val="28"/>
          <w:szCs w:val="28"/>
        </w:rPr>
        <w:t>VI.2.3</w:t>
      </w:r>
      <w:r w:rsidR="00933B4E" w:rsidRPr="00933B4E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ANÁLISIS DE LA CARTERA A EFECTOS DE RCCE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7088"/>
      </w:tblGrid>
      <w:tr w:rsidR="00933B4E" w:rsidRPr="00933B4E" w:rsidTr="009C5BE8">
        <w:tc>
          <w:tcPr>
            <w:tcW w:w="2835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933B4E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Firma de auditoria</w:t>
            </w:r>
          </w:p>
        </w:tc>
        <w:tc>
          <w:tcPr>
            <w:tcW w:w="7088" w:type="dxa"/>
          </w:tcPr>
          <w:p w:rsidR="00933B4E" w:rsidRPr="00933B4E" w:rsidRDefault="00270AF8" w:rsidP="009C5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es-E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eastAsia="es-ES"/>
              </w:rPr>
              <w:t>Asociación, S.L.L.</w:t>
            </w:r>
          </w:p>
        </w:tc>
      </w:tr>
      <w:tr w:rsidR="00933B4E" w:rsidRPr="00933B4E" w:rsidTr="009C5BE8">
        <w:tc>
          <w:tcPr>
            <w:tcW w:w="2835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933B4E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Ejercicio de CCAA</w:t>
            </w:r>
          </w:p>
        </w:tc>
        <w:tc>
          <w:tcPr>
            <w:tcW w:w="7088" w:type="dxa"/>
          </w:tcPr>
          <w:p w:rsidR="00933B4E" w:rsidRPr="00933B4E" w:rsidRDefault="00933B4E" w:rsidP="009C5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es-ES"/>
              </w:rPr>
            </w:pPr>
          </w:p>
        </w:tc>
      </w:tr>
      <w:tr w:rsidR="00933B4E" w:rsidRPr="00933B4E" w:rsidTr="009C5BE8">
        <w:tc>
          <w:tcPr>
            <w:tcW w:w="2835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933B4E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Evaluador</w:t>
            </w:r>
          </w:p>
        </w:tc>
        <w:tc>
          <w:tcPr>
            <w:tcW w:w="7088" w:type="dxa"/>
          </w:tcPr>
          <w:p w:rsidR="00933B4E" w:rsidRPr="00933B4E" w:rsidRDefault="00933B4E" w:rsidP="009C5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es-ES"/>
              </w:rPr>
            </w:pPr>
            <w:r w:rsidRPr="00933B4E">
              <w:rPr>
                <w:rFonts w:asciiTheme="minorHAnsi" w:hAnsiTheme="minorHAnsi" w:cstheme="minorHAnsi"/>
                <w:i/>
                <w:sz w:val="24"/>
                <w:szCs w:val="24"/>
                <w:lang w:eastAsia="es-ES"/>
              </w:rPr>
              <w:t xml:space="preserve">                                                           Fecha ejecución</w:t>
            </w:r>
          </w:p>
        </w:tc>
      </w:tr>
      <w:tr w:rsidR="00933B4E" w:rsidRPr="00933B4E" w:rsidTr="009C5BE8">
        <w:tc>
          <w:tcPr>
            <w:tcW w:w="2835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933B4E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Auditor del encargo</w:t>
            </w:r>
          </w:p>
        </w:tc>
        <w:tc>
          <w:tcPr>
            <w:tcW w:w="7088" w:type="dxa"/>
          </w:tcPr>
          <w:p w:rsidR="00933B4E" w:rsidRPr="00933B4E" w:rsidRDefault="00933B4E" w:rsidP="009C5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es-ES"/>
              </w:rPr>
            </w:pPr>
            <w:r w:rsidRPr="00933B4E">
              <w:rPr>
                <w:rFonts w:asciiTheme="minorHAnsi" w:hAnsiTheme="minorHAnsi" w:cstheme="minorHAnsi"/>
                <w:i/>
                <w:sz w:val="24"/>
                <w:szCs w:val="24"/>
                <w:lang w:eastAsia="es-ES"/>
              </w:rPr>
              <w:t xml:space="preserve">                                                           Fecha supervisión</w:t>
            </w:r>
          </w:p>
        </w:tc>
      </w:tr>
      <w:tr w:rsidR="00933B4E" w:rsidRPr="00933B4E" w:rsidTr="009C5BE8">
        <w:tc>
          <w:tcPr>
            <w:tcW w:w="2835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933B4E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Razón social del cliente</w:t>
            </w:r>
          </w:p>
        </w:tc>
        <w:tc>
          <w:tcPr>
            <w:tcW w:w="7088" w:type="dxa"/>
          </w:tcPr>
          <w:p w:rsidR="00933B4E" w:rsidRPr="00933B4E" w:rsidRDefault="00933B4E" w:rsidP="009C5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es-ES"/>
              </w:rPr>
            </w:pPr>
          </w:p>
        </w:tc>
      </w:tr>
      <w:tr w:rsidR="00933B4E" w:rsidRPr="00933B4E" w:rsidTr="009C5BE8">
        <w:tc>
          <w:tcPr>
            <w:tcW w:w="2835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"/>
              </w:rPr>
            </w:pPr>
            <w:r w:rsidRPr="00933B4E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Actividad realizada:</w:t>
            </w:r>
          </w:p>
        </w:tc>
        <w:tc>
          <w:tcPr>
            <w:tcW w:w="7088" w:type="dxa"/>
          </w:tcPr>
          <w:p w:rsidR="00933B4E" w:rsidRPr="00933B4E" w:rsidRDefault="00933B4E" w:rsidP="009C5BE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eastAsia="es-ES"/>
              </w:rPr>
            </w:pPr>
          </w:p>
        </w:tc>
      </w:tr>
    </w:tbl>
    <w:p w:rsidR="00933B4E" w:rsidRDefault="00933B4E" w:rsidP="00933B4E">
      <w:pPr>
        <w:spacing w:line="240" w:lineRule="auto"/>
        <w:rPr>
          <w:rFonts w:asciiTheme="minorHAnsi" w:hAnsiTheme="minorHAnsi" w:cstheme="minorHAnsi"/>
        </w:rPr>
      </w:pPr>
    </w:p>
    <w:p w:rsidR="00933B4E" w:rsidRPr="00933B4E" w:rsidRDefault="00933B4E" w:rsidP="00933B4E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33B4E">
        <w:rPr>
          <w:rFonts w:asciiTheme="minorHAnsi" w:hAnsiTheme="minorHAnsi" w:cstheme="minorHAnsi"/>
          <w:b/>
          <w:sz w:val="24"/>
          <w:szCs w:val="24"/>
        </w:rPr>
        <w:t>PARAMETROS CONCURRENTES SEGÚN EL MCCI</w:t>
      </w:r>
      <w:bookmarkStart w:id="0" w:name="_GoBack"/>
      <w:bookmarkEnd w:id="0"/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  <w:gridCol w:w="851"/>
      </w:tblGrid>
      <w:tr w:rsidR="00933B4E" w:rsidRPr="00933B4E" w:rsidTr="009C5BE8">
        <w:tc>
          <w:tcPr>
            <w:tcW w:w="9072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33B4E">
              <w:rPr>
                <w:rFonts w:asciiTheme="minorHAnsi" w:hAnsiTheme="minorHAnsi" w:cstheme="minorHAnsi"/>
                <w:b/>
                <w:bCs/>
              </w:rPr>
              <w:t>1.- QUE AFECTAN A LA NATURALEZA DEL ENCARGO Y SU CONNOTACIÓN DE INTERÉS PÚBLICO</w:t>
            </w:r>
          </w:p>
        </w:tc>
        <w:tc>
          <w:tcPr>
            <w:tcW w:w="851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33B4E">
              <w:rPr>
                <w:rFonts w:asciiTheme="minorHAnsi" w:hAnsiTheme="minorHAnsi" w:cstheme="minorHAnsi"/>
              </w:rPr>
              <w:t>Si/No</w:t>
            </w:r>
          </w:p>
        </w:tc>
      </w:tr>
      <w:tr w:rsidR="00933B4E" w:rsidRPr="00933B4E" w:rsidTr="009C5BE8">
        <w:tc>
          <w:tcPr>
            <w:tcW w:w="9072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La entidad tiene transcendencia pública o social, o su actividad es relevante para la comunidad:</w:t>
            </w:r>
          </w:p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ONG, Club de futbol, partido político</w:t>
            </w:r>
          </w:p>
        </w:tc>
        <w:tc>
          <w:tcPr>
            <w:tcW w:w="851" w:type="dxa"/>
          </w:tcPr>
          <w:p w:rsidR="00933B4E" w:rsidRPr="00933B4E" w:rsidRDefault="00933B4E" w:rsidP="009C5BE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3B4E" w:rsidRPr="00933B4E" w:rsidTr="009C5BE8">
        <w:tc>
          <w:tcPr>
            <w:tcW w:w="9072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Se trata de una entidad de capital público, o prestadora de servicios públicos</w:t>
            </w:r>
          </w:p>
        </w:tc>
        <w:tc>
          <w:tcPr>
            <w:tcW w:w="851" w:type="dxa"/>
          </w:tcPr>
          <w:p w:rsidR="00933B4E" w:rsidRPr="00933B4E" w:rsidRDefault="00933B4E" w:rsidP="009C5BE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3B4E" w:rsidRPr="00933B4E" w:rsidTr="009C5BE8">
        <w:tc>
          <w:tcPr>
            <w:tcW w:w="9072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Sus inversiones o explotación reciben subvenciones significativas.</w:t>
            </w:r>
          </w:p>
        </w:tc>
        <w:tc>
          <w:tcPr>
            <w:tcW w:w="851" w:type="dxa"/>
          </w:tcPr>
          <w:p w:rsidR="00933B4E" w:rsidRPr="00933B4E" w:rsidRDefault="00933B4E" w:rsidP="009C5BE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3B4E" w:rsidRPr="00933B4E" w:rsidTr="009C5BE8">
        <w:tc>
          <w:tcPr>
            <w:tcW w:w="9072" w:type="dxa"/>
          </w:tcPr>
          <w:p w:rsidR="00933B4E" w:rsidRPr="00933B4E" w:rsidRDefault="00933B4E" w:rsidP="00A80C86">
            <w:pPr>
              <w:tabs>
                <w:tab w:val="left" w:pos="6945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Su actividad requiere autorización del Órgano de Control previsto en la Ley de Blanqueo de capitales y de financiación del terrorismo.</w:t>
            </w:r>
          </w:p>
          <w:p w:rsidR="00933B4E" w:rsidRPr="00933B4E" w:rsidRDefault="00933B4E" w:rsidP="00A80C86">
            <w:pPr>
              <w:pStyle w:val="Prrafodelista"/>
              <w:numPr>
                <w:ilvl w:val="0"/>
                <w:numId w:val="15"/>
              </w:numPr>
              <w:tabs>
                <w:tab w:val="left" w:pos="6945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Realiza operaciones con empresas residentes o domiciliadas en paraísos fiscales.</w:t>
            </w:r>
          </w:p>
          <w:p w:rsidR="00933B4E" w:rsidRPr="00933B4E" w:rsidRDefault="00933B4E" w:rsidP="00A80C86">
            <w:pPr>
              <w:pStyle w:val="Prrafodelista"/>
              <w:numPr>
                <w:ilvl w:val="0"/>
                <w:numId w:val="15"/>
              </w:numPr>
              <w:tabs>
                <w:tab w:val="left" w:pos="6945"/>
              </w:tabs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Presta servicios de inversión, operaciones de envío de dinero, cambio de moneda, de empeño de bienes, remisiones de fondos, giro o transferencia, compra oro o de metales preciosos o similares.</w:t>
            </w:r>
          </w:p>
          <w:p w:rsidR="00933B4E" w:rsidRPr="00933B4E" w:rsidRDefault="00933B4E" w:rsidP="00933B4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Actividades de juego o apuestas, como casinos, tómbolas, rifas y entidades similares.</w:t>
            </w:r>
          </w:p>
          <w:p w:rsidR="00933B4E" w:rsidRPr="00933B4E" w:rsidRDefault="00933B4E" w:rsidP="00933B4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 xml:space="preserve">Los relacionados con la fabricación o comercialización de armas y productos similares. </w:t>
            </w:r>
          </w:p>
          <w:p w:rsidR="00933B4E" w:rsidRPr="00933B4E" w:rsidRDefault="00933B4E" w:rsidP="00933B4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Las empresas que realicen productos u operaciones propicias al anonimato, o de nuevos desarrollos tecnológicos.</w:t>
            </w:r>
          </w:p>
          <w:p w:rsidR="00933B4E" w:rsidRPr="00933B4E" w:rsidRDefault="00933B4E" w:rsidP="00933B4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Aquellos que por razón del sujeto o la actividad realizada concurran riesgos razonables de relación con actividad de blanqueo o financiación del terrorismo.</w:t>
            </w:r>
          </w:p>
        </w:tc>
        <w:tc>
          <w:tcPr>
            <w:tcW w:w="851" w:type="dxa"/>
          </w:tcPr>
          <w:p w:rsidR="00933B4E" w:rsidRPr="00933B4E" w:rsidRDefault="00933B4E" w:rsidP="009C5BE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33B4E" w:rsidRPr="00933B4E" w:rsidRDefault="00933B4E" w:rsidP="00933B4E">
      <w:pPr>
        <w:spacing w:after="120" w:line="240" w:lineRule="auto"/>
        <w:rPr>
          <w:rFonts w:asciiTheme="minorHAnsi" w:hAnsiTheme="minorHAnsi" w:cstheme="minorHAnsi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  <w:gridCol w:w="851"/>
      </w:tblGrid>
      <w:tr w:rsidR="00933B4E" w:rsidRPr="00933B4E" w:rsidTr="009C5BE8">
        <w:tc>
          <w:tcPr>
            <w:tcW w:w="9072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33B4E">
              <w:rPr>
                <w:rFonts w:asciiTheme="minorHAnsi" w:hAnsiTheme="minorHAnsi" w:cstheme="minorHAnsi"/>
                <w:b/>
                <w:bCs/>
              </w:rPr>
              <w:t>2.- CONCURRENCIA DE CIRCUNSTANCIAS O RIESGOS INUSUALES</w:t>
            </w:r>
          </w:p>
        </w:tc>
        <w:tc>
          <w:tcPr>
            <w:tcW w:w="851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33B4E">
              <w:rPr>
                <w:rFonts w:asciiTheme="minorHAnsi" w:hAnsiTheme="minorHAnsi" w:cstheme="minorHAnsi"/>
              </w:rPr>
              <w:t>Si/No</w:t>
            </w:r>
          </w:p>
        </w:tc>
      </w:tr>
      <w:tr w:rsidR="00933B4E" w:rsidRPr="00933B4E" w:rsidTr="009C5BE8">
        <w:tc>
          <w:tcPr>
            <w:tcW w:w="9072" w:type="dxa"/>
          </w:tcPr>
          <w:p w:rsidR="00933B4E" w:rsidRPr="00933B4E" w:rsidRDefault="00A80C86" w:rsidP="00A80C8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El</w:t>
            </w:r>
            <w:r w:rsidRPr="00A80C86">
              <w:rPr>
                <w:rFonts w:asciiTheme="minorHAnsi" w:hAnsiTheme="minorHAnsi" w:cstheme="minorHAnsi"/>
                <w:bCs/>
              </w:rPr>
              <w:t xml:space="preserve"> riesgo del encargo haya aumentado considerablemente durante la realización del trabajo, por ejemplo, cuando el cliente sea objeto de una adquisición para obtener el control de la entidad</w:t>
            </w:r>
            <w:r>
              <w:rPr>
                <w:rFonts w:asciiTheme="minorHAnsi" w:hAnsiTheme="minorHAnsi" w:cstheme="minorHAnsi"/>
                <w:bCs/>
              </w:rPr>
              <w:t>, cuando acontece</w:t>
            </w:r>
            <w:r w:rsidRPr="00A80C86">
              <w:rPr>
                <w:rFonts w:asciiTheme="minorHAnsi" w:hAnsiTheme="minorHAnsi" w:cstheme="minorHAnsi"/>
                <w:bCs/>
              </w:rPr>
              <w:t xml:space="preserve"> un litigio muy significativo en contra del cliente que no estaba presente durante el proceso de aceptación del encargo</w:t>
            </w:r>
            <w:r>
              <w:rPr>
                <w:rFonts w:asciiTheme="minorHAnsi" w:hAnsiTheme="minorHAnsi" w:cstheme="minorHAnsi"/>
                <w:bCs/>
              </w:rPr>
              <w:t>,..</w:t>
            </w:r>
            <w:r w:rsidRPr="00A80C86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851" w:type="dxa"/>
          </w:tcPr>
          <w:p w:rsidR="00933B4E" w:rsidRPr="00933B4E" w:rsidRDefault="00933B4E" w:rsidP="009C5BE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3B4E" w:rsidRPr="00933B4E" w:rsidTr="009C5BE8">
        <w:tc>
          <w:tcPr>
            <w:tcW w:w="9072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Cliente recurrentes más de (_</w:t>
            </w:r>
            <w:r w:rsidR="00A80C86" w:rsidRPr="00A80C86">
              <w:rPr>
                <w:rFonts w:asciiTheme="minorHAnsi" w:hAnsiTheme="minorHAnsi" w:cstheme="minorHAnsi"/>
                <w:b/>
                <w:bCs/>
              </w:rPr>
              <w:t>12</w:t>
            </w:r>
            <w:r w:rsidR="009C5BE8">
              <w:rPr>
                <w:rFonts w:asciiTheme="minorHAnsi" w:hAnsiTheme="minorHAnsi" w:cstheme="minorHAnsi"/>
                <w:bCs/>
              </w:rPr>
              <w:t>__) años, sin rotar auditor, o someter a</w:t>
            </w:r>
            <w:r w:rsidRPr="00933B4E">
              <w:rPr>
                <w:rFonts w:asciiTheme="minorHAnsi" w:hAnsiTheme="minorHAnsi" w:cstheme="minorHAnsi"/>
                <w:bCs/>
              </w:rPr>
              <w:t xml:space="preserve"> RCCE</w:t>
            </w:r>
            <w:r w:rsidR="009C5BE8">
              <w:rPr>
                <w:rFonts w:asciiTheme="minorHAnsi" w:hAnsiTheme="minorHAnsi" w:cstheme="minorHAnsi"/>
                <w:bCs/>
              </w:rPr>
              <w:t xml:space="preserve"> durante dos años consecutivos,</w:t>
            </w:r>
            <w:r w:rsidRPr="00933B4E">
              <w:rPr>
                <w:rFonts w:asciiTheme="minorHAnsi" w:hAnsiTheme="minorHAnsi" w:cstheme="minorHAnsi"/>
                <w:bCs/>
              </w:rPr>
              <w:t xml:space="preserve"> con amenaza de familiaridad </w:t>
            </w:r>
          </w:p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(Indicar ejercicio inicial______)</w:t>
            </w:r>
          </w:p>
        </w:tc>
        <w:tc>
          <w:tcPr>
            <w:tcW w:w="851" w:type="dxa"/>
          </w:tcPr>
          <w:p w:rsidR="00933B4E" w:rsidRPr="00933B4E" w:rsidRDefault="00933B4E" w:rsidP="009C5BE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3B4E" w:rsidRPr="00933B4E" w:rsidTr="009C5BE8">
        <w:tc>
          <w:tcPr>
            <w:tcW w:w="9072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El sector de actividad es desconocido, o requiere un esfuerzo adicional para la firma por su especial complejidad.</w:t>
            </w:r>
          </w:p>
        </w:tc>
        <w:tc>
          <w:tcPr>
            <w:tcW w:w="851" w:type="dxa"/>
          </w:tcPr>
          <w:p w:rsidR="00933B4E" w:rsidRPr="00933B4E" w:rsidRDefault="00933B4E" w:rsidP="009C5BE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3B4E" w:rsidRPr="00933B4E" w:rsidTr="009C5BE8">
        <w:tc>
          <w:tcPr>
            <w:tcW w:w="9072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Patrimonio Neto por debajo de ½ de capital social;</w:t>
            </w:r>
          </w:p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Cifra de Capital_______ ½___________</w:t>
            </w:r>
          </w:p>
          <w:p w:rsidR="00933B4E" w:rsidRPr="00933B4E" w:rsidRDefault="00933B4E" w:rsidP="00CB5AA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Cifra de Patrimonio Neto __</w:t>
            </w:r>
            <w:r w:rsidR="00CB5AAF">
              <w:rPr>
                <w:rFonts w:asciiTheme="minorHAnsi" w:hAnsiTheme="minorHAnsi" w:cstheme="minorHAnsi"/>
                <w:bCs/>
              </w:rPr>
              <w:t>___________</w:t>
            </w:r>
          </w:p>
        </w:tc>
        <w:tc>
          <w:tcPr>
            <w:tcW w:w="851" w:type="dxa"/>
          </w:tcPr>
          <w:p w:rsidR="00933B4E" w:rsidRPr="00933B4E" w:rsidRDefault="00933B4E" w:rsidP="009C5BE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3B4E" w:rsidRPr="00933B4E" w:rsidTr="009C5BE8">
        <w:tc>
          <w:tcPr>
            <w:tcW w:w="9072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Se encuentra la empresa en liquidación o concurso de acreedores</w:t>
            </w:r>
            <w:proofErr w:type="gramStart"/>
            <w:r w:rsidRPr="00933B4E">
              <w:rPr>
                <w:rFonts w:asciiTheme="minorHAnsi" w:hAnsiTheme="minorHAnsi" w:cstheme="minorHAnsi"/>
                <w:bCs/>
              </w:rPr>
              <w:t>?</w:t>
            </w:r>
            <w:r w:rsidR="00CB5AAF">
              <w:rPr>
                <w:rFonts w:asciiTheme="minorHAnsi" w:hAnsiTheme="minorHAnsi" w:cstheme="minorHAnsi"/>
                <w:bCs/>
              </w:rPr>
              <w:t>.</w:t>
            </w:r>
            <w:proofErr w:type="gramEnd"/>
          </w:p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</w:rPr>
            </w:pPr>
            <w:r w:rsidRPr="00933B4E">
              <w:rPr>
                <w:rFonts w:asciiTheme="minorHAnsi" w:hAnsiTheme="minorHAnsi" w:cstheme="minorHAnsi"/>
                <w:bCs/>
                <w:i/>
              </w:rPr>
              <w:t>Indicar acuerdo o Auto de declaración Judicial</w:t>
            </w:r>
          </w:p>
        </w:tc>
        <w:tc>
          <w:tcPr>
            <w:tcW w:w="851" w:type="dxa"/>
          </w:tcPr>
          <w:p w:rsidR="00933B4E" w:rsidRPr="00933B4E" w:rsidRDefault="00933B4E" w:rsidP="009C5BE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0C86" w:rsidRPr="00933B4E" w:rsidTr="009C5BE8">
        <w:tc>
          <w:tcPr>
            <w:tcW w:w="9072" w:type="dxa"/>
          </w:tcPr>
          <w:p w:rsidR="00A80C86" w:rsidRPr="00933B4E" w:rsidRDefault="00CB5AAF" w:rsidP="00CB5AA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</w:t>
            </w:r>
            <w:r w:rsidR="00A80C86" w:rsidRPr="00A80C86">
              <w:rPr>
                <w:rFonts w:asciiTheme="minorHAnsi" w:hAnsiTheme="minorHAnsi" w:cstheme="minorHAnsi"/>
                <w:bCs/>
              </w:rPr>
              <w:t xml:space="preserve">l socio </w:t>
            </w:r>
            <w:r>
              <w:rPr>
                <w:rFonts w:asciiTheme="minorHAnsi" w:hAnsiTheme="minorHAnsi" w:cstheme="minorHAnsi"/>
                <w:bCs/>
              </w:rPr>
              <w:t>del encargo propone</w:t>
            </w:r>
            <w:r w:rsidR="00A80C86" w:rsidRPr="00A80C86">
              <w:rPr>
                <w:rFonts w:asciiTheme="minorHAnsi" w:hAnsiTheme="minorHAnsi" w:cstheme="minorHAnsi"/>
                <w:bCs/>
              </w:rPr>
              <w:t xml:space="preserve"> una opinión desfavorable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?.</w:t>
            </w:r>
            <w:proofErr w:type="gramEnd"/>
          </w:p>
        </w:tc>
        <w:tc>
          <w:tcPr>
            <w:tcW w:w="851" w:type="dxa"/>
          </w:tcPr>
          <w:p w:rsidR="00A80C86" w:rsidRPr="00933B4E" w:rsidRDefault="00A80C86" w:rsidP="009C5BE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33B4E" w:rsidRPr="00933B4E" w:rsidRDefault="00933B4E" w:rsidP="00933B4E">
      <w:pPr>
        <w:spacing w:line="240" w:lineRule="auto"/>
        <w:rPr>
          <w:rFonts w:asciiTheme="minorHAnsi" w:hAnsiTheme="minorHAnsi" w:cstheme="minorHAnsi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  <w:gridCol w:w="851"/>
      </w:tblGrid>
      <w:tr w:rsidR="00933B4E" w:rsidRPr="00933B4E" w:rsidTr="009C5BE8">
        <w:tc>
          <w:tcPr>
            <w:tcW w:w="9072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33B4E">
              <w:rPr>
                <w:rFonts w:asciiTheme="minorHAnsi" w:hAnsiTheme="minorHAnsi" w:cstheme="minorHAnsi"/>
                <w:b/>
                <w:bCs/>
              </w:rPr>
              <w:lastRenderedPageBreak/>
              <w:t>3.- EXIGENCIA DE LA NORMATIVA LEGAL O REGULADORA</w:t>
            </w:r>
          </w:p>
        </w:tc>
        <w:tc>
          <w:tcPr>
            <w:tcW w:w="851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33B4E">
              <w:rPr>
                <w:rFonts w:asciiTheme="minorHAnsi" w:hAnsiTheme="minorHAnsi" w:cstheme="minorHAnsi"/>
              </w:rPr>
              <w:t>Si/No</w:t>
            </w:r>
          </w:p>
        </w:tc>
      </w:tr>
      <w:tr w:rsidR="00933B4E" w:rsidRPr="00933B4E" w:rsidTr="009C5BE8">
        <w:tc>
          <w:tcPr>
            <w:tcW w:w="9072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Se trata de una entidad de interés público:</w:t>
            </w:r>
          </w:p>
          <w:p w:rsidR="00933B4E" w:rsidRPr="00933B4E" w:rsidRDefault="00933B4E" w:rsidP="00933B4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Entidades cotizadas, de crédito o aseguradoras</w:t>
            </w:r>
          </w:p>
        </w:tc>
        <w:tc>
          <w:tcPr>
            <w:tcW w:w="851" w:type="dxa"/>
          </w:tcPr>
          <w:p w:rsidR="00933B4E" w:rsidRPr="00933B4E" w:rsidRDefault="00933B4E" w:rsidP="009C5BE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33B4E" w:rsidRPr="00933B4E" w:rsidTr="009C5BE8">
        <w:tc>
          <w:tcPr>
            <w:tcW w:w="9072" w:type="dxa"/>
          </w:tcPr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Se trata de una entidad del Art. 2,5 de LAC</w:t>
            </w:r>
          </w:p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(IIC, Fondos Pensiones, SGR, Entidades pago; Entidades Dinero Electrónico, Grandes empresas, Sus Grupos)</w:t>
            </w:r>
          </w:p>
          <w:p w:rsidR="00933B4E" w:rsidRPr="00933B4E" w:rsidRDefault="00933B4E" w:rsidP="009C5BE8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B4E">
              <w:rPr>
                <w:rFonts w:asciiTheme="minorHAnsi" w:hAnsiTheme="minorHAnsi" w:cstheme="minorHAnsi"/>
                <w:bCs/>
              </w:rPr>
              <w:t>Exposición de los criterios utilizados para su no realización:</w:t>
            </w:r>
          </w:p>
        </w:tc>
        <w:tc>
          <w:tcPr>
            <w:tcW w:w="851" w:type="dxa"/>
          </w:tcPr>
          <w:p w:rsidR="00933B4E" w:rsidRPr="00933B4E" w:rsidRDefault="00933B4E" w:rsidP="009C5BE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47110" w:rsidRPr="00933B4E" w:rsidRDefault="00047110" w:rsidP="00E555A1">
      <w:pPr>
        <w:rPr>
          <w:rFonts w:asciiTheme="minorHAnsi" w:hAnsiTheme="minorHAnsi" w:cstheme="minorHAnsi"/>
        </w:rPr>
      </w:pPr>
    </w:p>
    <w:sectPr w:rsidR="00047110" w:rsidRPr="00933B4E" w:rsidSect="0020174B">
      <w:headerReference w:type="default" r:id="rId7"/>
      <w:footerReference w:type="default" r:id="rId8"/>
      <w:pgSz w:w="11906" w:h="16838"/>
      <w:pgMar w:top="1417" w:right="1701" w:bottom="1417" w:left="1701" w:header="283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E8" w:rsidRDefault="009C5BE8" w:rsidP="00564437">
      <w:pPr>
        <w:spacing w:after="0" w:line="240" w:lineRule="auto"/>
      </w:pPr>
      <w:r>
        <w:separator/>
      </w:r>
    </w:p>
  </w:endnote>
  <w:endnote w:type="continuationSeparator" w:id="0">
    <w:p w:rsidR="009C5BE8" w:rsidRDefault="009C5BE8" w:rsidP="00564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E8" w:rsidRDefault="009C5BE8">
    <w:pPr>
      <w:pStyle w:val="Piedepgina"/>
      <w:jc w:val="right"/>
    </w:pPr>
    <w:r>
      <w:t xml:space="preserve">Pág. </w:t>
    </w:r>
    <w:r>
      <w:fldChar w:fldCharType="begin"/>
    </w:r>
    <w:r>
      <w:instrText>PAGE   \* MERGEFORMAT</w:instrText>
    </w:r>
    <w:r>
      <w:fldChar w:fldCharType="separate"/>
    </w:r>
    <w:r w:rsidR="00270AF8">
      <w:rPr>
        <w:noProof/>
      </w:rPr>
      <w:t>1</w:t>
    </w:r>
    <w:r>
      <w:rPr>
        <w:noProof/>
      </w:rPr>
      <w:fldChar w:fldCharType="end"/>
    </w:r>
  </w:p>
  <w:p w:rsidR="009C5BE8" w:rsidRDefault="009C5B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E8" w:rsidRDefault="009C5BE8" w:rsidP="00564437">
      <w:pPr>
        <w:spacing w:after="0" w:line="240" w:lineRule="auto"/>
      </w:pPr>
      <w:r>
        <w:separator/>
      </w:r>
    </w:p>
  </w:footnote>
  <w:footnote w:type="continuationSeparator" w:id="0">
    <w:p w:rsidR="009C5BE8" w:rsidRDefault="009C5BE8" w:rsidP="00564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E8" w:rsidRDefault="009A3BB9" w:rsidP="00047110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9690DF7" wp14:editId="7E49AD32">
          <wp:extent cx="1314450" cy="114555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 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417" cy="1155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5BE8" w:rsidRDefault="009C5B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4D27"/>
    <w:multiLevelType w:val="hybridMultilevel"/>
    <w:tmpl w:val="14566EA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1D6D7C"/>
    <w:multiLevelType w:val="hybridMultilevel"/>
    <w:tmpl w:val="C32AAA1E"/>
    <w:lvl w:ilvl="0" w:tplc="2868739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5F451A"/>
    <w:multiLevelType w:val="hybridMultilevel"/>
    <w:tmpl w:val="939A05AA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01240"/>
    <w:multiLevelType w:val="hybridMultilevel"/>
    <w:tmpl w:val="BF66514E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2A1121"/>
    <w:multiLevelType w:val="hybridMultilevel"/>
    <w:tmpl w:val="9FAAEEF4"/>
    <w:lvl w:ilvl="0" w:tplc="0C0A0003">
      <w:start w:val="1"/>
      <w:numFmt w:val="bullet"/>
      <w:lvlText w:val="o"/>
      <w:lvlJc w:val="left"/>
      <w:pPr>
        <w:ind w:left="535" w:hanging="360"/>
      </w:pPr>
      <w:rPr>
        <w:rFonts w:ascii="Courier New" w:hAnsi="Courier New" w:hint="default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D">
      <w:start w:val="1"/>
      <w:numFmt w:val="bullet"/>
      <w:lvlText w:val="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>
    <w:nsid w:val="46394EF4"/>
    <w:multiLevelType w:val="hybridMultilevel"/>
    <w:tmpl w:val="3FB6B172"/>
    <w:lvl w:ilvl="0" w:tplc="E14E046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A38BE"/>
    <w:multiLevelType w:val="hybridMultilevel"/>
    <w:tmpl w:val="2A22B2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26CB5"/>
    <w:multiLevelType w:val="hybridMultilevel"/>
    <w:tmpl w:val="180610D8"/>
    <w:lvl w:ilvl="0" w:tplc="4DBA2F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D0AC8"/>
    <w:multiLevelType w:val="hybridMultilevel"/>
    <w:tmpl w:val="AB2EB6E8"/>
    <w:lvl w:ilvl="0" w:tplc="88C44154">
      <w:start w:val="6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3647F8"/>
    <w:multiLevelType w:val="hybridMultilevel"/>
    <w:tmpl w:val="BEBCEBF2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>
    <w:nsid w:val="5E85682D"/>
    <w:multiLevelType w:val="hybridMultilevel"/>
    <w:tmpl w:val="C03A1520"/>
    <w:lvl w:ilvl="0" w:tplc="87683196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1">
    <w:nsid w:val="5EE123FE"/>
    <w:multiLevelType w:val="hybridMultilevel"/>
    <w:tmpl w:val="B6E01D36"/>
    <w:lvl w:ilvl="0" w:tplc="0C0A000F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  <w:color w:val="auto"/>
      </w:rPr>
    </w:lvl>
    <w:lvl w:ilvl="1" w:tplc="B10A6586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>
    <w:nsid w:val="60904F1B"/>
    <w:multiLevelType w:val="hybridMultilevel"/>
    <w:tmpl w:val="06C4EC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4F6703"/>
    <w:multiLevelType w:val="hybridMultilevel"/>
    <w:tmpl w:val="50C4DC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D28E6"/>
    <w:multiLevelType w:val="hybridMultilevel"/>
    <w:tmpl w:val="7C96FB7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51F91"/>
    <w:multiLevelType w:val="hybridMultilevel"/>
    <w:tmpl w:val="DAFA6470"/>
    <w:lvl w:ilvl="0" w:tplc="0832CED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D7CB5"/>
    <w:multiLevelType w:val="hybridMultilevel"/>
    <w:tmpl w:val="DF24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6"/>
  </w:num>
  <w:num w:numId="5">
    <w:abstractNumId w:val="9"/>
  </w:num>
  <w:num w:numId="6">
    <w:abstractNumId w:val="4"/>
  </w:num>
  <w:num w:numId="7">
    <w:abstractNumId w:val="11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15"/>
  </w:num>
  <w:num w:numId="13">
    <w:abstractNumId w:val="5"/>
  </w:num>
  <w:num w:numId="14">
    <w:abstractNumId w:val="12"/>
  </w:num>
  <w:num w:numId="15">
    <w:abstractNumId w:val="6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E5"/>
    <w:rsid w:val="00047110"/>
    <w:rsid w:val="000576E3"/>
    <w:rsid w:val="00081863"/>
    <w:rsid w:val="000D4F49"/>
    <w:rsid w:val="000D7277"/>
    <w:rsid w:val="00123BCC"/>
    <w:rsid w:val="001352EB"/>
    <w:rsid w:val="00155C7B"/>
    <w:rsid w:val="001570E7"/>
    <w:rsid w:val="00177F9F"/>
    <w:rsid w:val="00191796"/>
    <w:rsid w:val="0019272B"/>
    <w:rsid w:val="0019555F"/>
    <w:rsid w:val="001A4441"/>
    <w:rsid w:val="00201567"/>
    <w:rsid w:val="0020174B"/>
    <w:rsid w:val="00243546"/>
    <w:rsid w:val="00257222"/>
    <w:rsid w:val="00270AF8"/>
    <w:rsid w:val="00412880"/>
    <w:rsid w:val="004C675A"/>
    <w:rsid w:val="004E705A"/>
    <w:rsid w:val="004F2F42"/>
    <w:rsid w:val="00534EFB"/>
    <w:rsid w:val="00564437"/>
    <w:rsid w:val="005945E3"/>
    <w:rsid w:val="00596099"/>
    <w:rsid w:val="00693C11"/>
    <w:rsid w:val="006A2CAC"/>
    <w:rsid w:val="007C65AB"/>
    <w:rsid w:val="00820B4F"/>
    <w:rsid w:val="00832A56"/>
    <w:rsid w:val="008E3DE9"/>
    <w:rsid w:val="009207A7"/>
    <w:rsid w:val="00933B4E"/>
    <w:rsid w:val="00946508"/>
    <w:rsid w:val="00961E7A"/>
    <w:rsid w:val="0096661B"/>
    <w:rsid w:val="00967D75"/>
    <w:rsid w:val="00987EB0"/>
    <w:rsid w:val="009A3BB9"/>
    <w:rsid w:val="009A54C7"/>
    <w:rsid w:val="009C5BE8"/>
    <w:rsid w:val="009C6CBF"/>
    <w:rsid w:val="00A22367"/>
    <w:rsid w:val="00A52F0D"/>
    <w:rsid w:val="00A80C86"/>
    <w:rsid w:val="00A81C9C"/>
    <w:rsid w:val="00AA6107"/>
    <w:rsid w:val="00AE5187"/>
    <w:rsid w:val="00B415B7"/>
    <w:rsid w:val="00B77BF4"/>
    <w:rsid w:val="00BF4CD4"/>
    <w:rsid w:val="00C15ADD"/>
    <w:rsid w:val="00C25F2A"/>
    <w:rsid w:val="00CB50C2"/>
    <w:rsid w:val="00CB5AAF"/>
    <w:rsid w:val="00CF2721"/>
    <w:rsid w:val="00D10FA0"/>
    <w:rsid w:val="00D44078"/>
    <w:rsid w:val="00DA3DDC"/>
    <w:rsid w:val="00DD38E5"/>
    <w:rsid w:val="00E103BA"/>
    <w:rsid w:val="00E27E06"/>
    <w:rsid w:val="00E3554D"/>
    <w:rsid w:val="00E40029"/>
    <w:rsid w:val="00E555A1"/>
    <w:rsid w:val="00E87B35"/>
    <w:rsid w:val="00EB5306"/>
    <w:rsid w:val="00F90583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66658633-7430-49AE-9D5D-2ECE8ACA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195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6443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4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6443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4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6443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rsid w:val="00987E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987EB0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987EB0"/>
    <w:rPr>
      <w:rFonts w:cs="Times New Roman"/>
      <w:vertAlign w:val="superscript"/>
    </w:rPr>
  </w:style>
  <w:style w:type="character" w:styleId="Hipervnculo">
    <w:name w:val="Hyperlink"/>
    <w:uiPriority w:val="99"/>
    <w:semiHidden/>
    <w:rsid w:val="009A54C7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54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99"/>
    <w:qFormat/>
    <w:rsid w:val="0069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81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García</dc:creator>
  <cp:keywords/>
  <dc:description/>
  <cp:lastModifiedBy>practicas</cp:lastModifiedBy>
  <cp:revision>6</cp:revision>
  <dcterms:created xsi:type="dcterms:W3CDTF">2017-01-11T09:47:00Z</dcterms:created>
  <dcterms:modified xsi:type="dcterms:W3CDTF">2017-06-22T12:37:00Z</dcterms:modified>
</cp:coreProperties>
</file>